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Bilanzanalyse der Wirtschaftsprüfung zur Zahlungsunfähigkeit</w:t>
      </w:r>
    </w:p>
    <w:p>
      <w:r>
        <w:t>Gutachterin: WP Cordula Reimann, Reimann Wirtschaftspruefung Kiel.</w:t>
      </w:r>
    </w:p>
    <w:p>
      <w:r>
        <w:t>Auftrag: Feststellung des Zeitpunkts der Zahlungsunfaehigkeit der Nordlicht Handels GmbH.</w:t>
      </w:r>
    </w:p>
    <w:p>
      <w:r>
        <w:t>Auf Grundlage der Kontoauszuege und der betriebswirtschaftlichen Auswertungen fuer Oktober bis Dezember 2012 stellt die Gutachterin fest, dass die Liquiditaetsluecke ab dem 15.12.2012 mehr als 10 % der faelligen Verbindlichkeiten betrug und auch innerhalb von drei Wochen nicht mehr geschlossen werden konnte.</w:t>
      </w:r>
    </w:p>
    <w:p>
      <w:r>
        <w:t>Die Gesellschaft war damit ab dem 15.12.2012 zahlungsunfaehig im Sinne des § 17 InsO.</w:t>
      </w:r>
    </w:p>
    <w:p/>
    <w:p>
      <w:r>
        <w:t>Reimann Wirtschaftspruefung, Kiel, 12.06.2014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Nordlicht Handels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Nordlicht Handels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Az. AG Kiel 10 IN 127/13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