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Vergütungsantrag des Insolvenzverwalters gemaess Paragraf 63 InsO</w:t>
      </w:r>
    </w:p>
    <w:p>
      <w:r>
        <w:t>An das Amtsgericht Kiel.</w:t>
      </w:r>
    </w:p>
    <w:p>
      <w:r>
        <w:t>Der Insolvenzverwalter beantragt die Festsetzung seiner Verguetung fuer die Taetigkeit von der Eroeffnung am 01.06.2013 bis zum Antragszeitpunkt.</w:t>
      </w:r>
    </w:p>
    <w:p>
      <w:r>
        <w:t>Berechnungsgrundlage: Regelverguetung nach § 2 InsVV auf Basis der Teilungsmasse von 510.200,00 EUR, zzgl. Zuschlaegen fuer die Fuehrung der Anfechtungsprozesse (15 %) und die lange Verfahrensdauer (10 %).</w:t>
      </w:r>
    </w:p>
    <w:p>
      <w:r>
        <w:t>Beantragte Verguetung: 42.600,00 EUR zzgl. Auslagen und Umsatzsteuer.</w:t>
      </w:r>
    </w:p>
    <w:p/>
    <w:p>
      <w:r>
        <w:t>Dr. Jens-Peter Hartmann, Kiel, 20.11.2023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