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18 – Sofortige Beschwerde OLG Düsseldorf (Verg 18/26)</w:t>
      </w:r>
    </w:p>
    <w:p>
      <w:pPr>
        <w:jc w:val="left"/>
      </w:pPr>
      <w:r>
        <w:rPr>
          <w:b/>
        </w:rPr>
        <w:t>Aktenzeichen OLG:</w:t>
      </w:r>
      <w:r>
        <w:t xml:space="preserve"> Verg 18/26</w:t>
      </w:r>
    </w:p>
    <w:p>
      <w:pPr>
        <w:jc w:val="left"/>
      </w:pPr>
      <w:r>
        <w:rPr>
          <w:b/>
        </w:rPr>
        <w:t>Aktenzeichen VK:</w:t>
      </w:r>
      <w:r>
        <w:t xml:space="preserve"> VK 1-32/26</w:t>
      </w:r>
    </w:p>
    <w:p>
      <w:pPr>
        <w:jc w:val="left"/>
      </w:pPr>
      <w:r>
        <w:rPr>
          <w:b/>
        </w:rPr>
        <w:t>Datum:</w:t>
      </w:r>
      <w:r>
        <w:t xml:space="preserve"> 09.07.2026</w:t>
      </w:r>
    </w:p>
    <w:p>
      <w:pPr>
        <w:jc w:val="left"/>
      </w:pPr>
      <w:r>
        <w:rPr>
          <w:b/>
        </w:rPr>
        <w:t>Von:</w:t>
      </w:r>
      <w:r>
        <w:t xml:space="preserve"> RAin Dr. Sandra Mertke (für Antragsgegnerin)</w:t>
      </w:r>
    </w:p>
    <w:p>
      <w:pPr>
        <w:jc w:val="left"/>
      </w:pPr>
      <w:r>
        <w:rPr>
          <w:b/>
        </w:rPr>
        <w:t>An:</w:t>
      </w:r>
      <w:r>
        <w:t xml:space="preserve"> Oberlandesgericht Düsseldorf, Vergabesenat</w:t>
      </w:r>
    </w:p>
    <w:p/>
    <w:p>
      <w:pPr>
        <w:pStyle w:val="Heading2"/>
      </w:pPr>
      <w:r>
        <w:rPr>
          <w:rFonts w:ascii="Times New Roman" w:hAnsi="Times New Roman"/>
        </w:rPr>
        <w:t>SOFORTIGE BESCHWERDE</w:t>
      </w:r>
    </w:p>
    <w:p>
      <w:pPr>
        <w:jc w:val="left"/>
      </w:pPr>
      <w:r>
        <w:t>gemäß § 171 GWB</w:t>
      </w:r>
    </w:p>
    <w:p>
      <w:pPr>
        <w:jc w:val="left"/>
      </w:pPr>
      <w:r>
        <w:rPr>
          <w:b/>
        </w:rPr>
        <w:t>Beschwerdeführerin (Antragsgegnerin):</w:t>
      </w:r>
    </w:p>
    <w:p>
      <w:pPr>
        <w:jc w:val="left"/>
      </w:pPr>
      <w:r>
        <w:t>Landeshauptstadt Schwerin / Eigenbetrieb SDS</w:t>
      </w:r>
    </w:p>
    <w:p>
      <w:pPr>
        <w:jc w:val="left"/>
      </w:pPr>
      <w:r>
        <w:t>vertreten durch: RAin Dr. Sandra Mertke, Kanzlei Vergaberecht Nord, Rostock</w:t>
      </w:r>
    </w:p>
    <w:p>
      <w:pPr>
        <w:jc w:val="left"/>
      </w:pPr>
      <w:r>
        <w:rPr>
          <w:b/>
        </w:rPr>
        <w:t>Beschwerdegegnerin (Antragstellerin):</w:t>
      </w:r>
    </w:p>
    <w:p>
      <w:pPr>
        <w:jc w:val="left"/>
      </w:pPr>
      <w:r>
        <w:t>CyberShield Defense GmbH, Berlin</w:t>
      </w:r>
    </w:p>
    <w:p>
      <w:pPr>
        <w:jc w:val="left"/>
      </w:pPr>
      <w:r>
        <w:t>vertreten durch: RA Dr. Constantin Bährens, Berlin</w:t>
      </w:r>
    </w:p>
    <w:p>
      <w:pPr>
        <w:jc w:val="left"/>
      </w:pPr>
      <w:r>
        <w:rPr>
          <w:b/>
        </w:rPr>
        <w:t>Beigeladene:</w:t>
      </w:r>
    </w:p>
    <w:p>
      <w:pPr>
        <w:jc w:val="left"/>
      </w:pPr>
      <w:r>
        <w:t>ProtectIT SE, Bonn</w:t>
      </w:r>
    </w:p>
    <w:p>
      <w:pPr>
        <w:jc w:val="left"/>
      </w:pPr>
      <w:r>
        <w:t xml:space="preserve">gegen den </w:t>
      </w:r>
      <w:r>
        <w:rPr>
          <w:b/>
        </w:rPr>
        <w:t>Beschluss der Vergabekammer des Bundes, VK 1, vom 25.06.2026</w:t>
      </w:r>
      <w:r>
        <w:t xml:space="preserve"> (Az. VK 1-32/26)</w:t>
      </w:r>
    </w:p>
    <w:p/>
    <w:p>
      <w:pPr>
        <w:jc w:val="left"/>
      </w:pPr>
      <w:r>
        <w:t>An das</w:t>
      </w:r>
    </w:p>
    <w:p>
      <w:pPr>
        <w:jc w:val="left"/>
      </w:pPr>
      <w:r>
        <w:t>Oberlandesgericht Düsseldorf</w:t>
      </w:r>
    </w:p>
    <w:p>
      <w:pPr>
        <w:jc w:val="left"/>
      </w:pPr>
      <w:r>
        <w:t>– Vergabesenat –</w:t>
      </w:r>
    </w:p>
    <w:p>
      <w:pPr>
        <w:jc w:val="left"/>
      </w:pPr>
      <w:r>
        <w:t>Cecilienallee 3</w:t>
      </w:r>
    </w:p>
    <w:p>
      <w:pPr>
        <w:jc w:val="left"/>
      </w:pPr>
      <w:r>
        <w:t>40474 Düsseldorf</w:t>
      </w:r>
    </w:p>
    <w:p>
      <w:pPr>
        <w:jc w:val="left"/>
      </w:pPr>
      <w:r>
        <w:t>Rostock, 09. Juli 2026</w:t>
      </w:r>
    </w:p>
    <w:p/>
    <w:p>
      <w:pPr>
        <w:pStyle w:val="Heading2"/>
      </w:pPr>
      <w:r>
        <w:rPr>
          <w:rFonts w:ascii="Times New Roman" w:hAnsi="Times New Roman"/>
        </w:rPr>
        <w:t>I. Beschwerdegegenstand</w:t>
      </w:r>
    </w:p>
    <w:p>
      <w:pPr>
        <w:jc w:val="left"/>
      </w:pPr>
      <w:r>
        <w:t>Die Beschwerdeführerin wendet sich gegen den Beschluss der VK Bund vom 25.06.2026, durch den:</w:t>
      </w:r>
    </w:p>
    <w:p>
      <w:pPr>
        <w:pStyle w:val="ListNumber"/>
      </w:pPr>
      <w:r>
        <w:t>der Bieterausschluss der CyberShield aufgehoben wurde (Tenor I),</w:t>
      </w:r>
    </w:p>
    <w:p>
      <w:pPr>
        <w:pStyle w:val="ListNumber"/>
      </w:pPr>
      <w:r>
        <w:t>die überarbeitete Fassung des Reaktionszeitenkonzepts der ProtectIT SE aus der Wertung ausgeschlossen wurde (Tenor II),</w:t>
      </w:r>
    </w:p>
    <w:p>
      <w:pPr>
        <w:pStyle w:val="ListNumber"/>
      </w:pPr>
      <w:r>
        <w:t>die Kosten vollständig der Beschwerdeführerin auferlegt wurden (Tenor IV, V).</w:t>
      </w:r>
    </w:p>
    <w:p>
      <w:pPr>
        <w:pStyle w:val="Heading2"/>
      </w:pPr>
      <w:r>
        <w:rPr>
          <w:rFonts w:ascii="Times New Roman" w:hAnsi="Times New Roman"/>
        </w:rPr>
        <w:t>II. Begründung</w:t>
      </w:r>
    </w:p>
    <w:p>
      <w:pPr>
        <w:pStyle w:val="Heading3"/>
      </w:pPr>
      <w:r>
        <w:rPr>
          <w:rFonts w:ascii="Times New Roman" w:hAnsi="Times New Roman"/>
        </w:rPr>
        <w:t>1. Zu Tenor I: Bieterausschluss CyberShield</w:t>
      </w:r>
    </w:p>
    <w:p>
      <w:pPr>
        <w:jc w:val="left"/>
      </w:pPr>
      <w:r>
        <w:t>Die Vergabekammer hat den Beurteilungsspielraum der Vergabestelle bei der Eignungsprüfung verkannt. Nach ständiger Rechtsprechung des OLG Düsseldorf (Beschluss v. 13.01.2021 – Verg 23/20) hat die Vergabestelle bei der Interpretation eigener Eignungsanforderungen einen Beurteilungsspielraum, der gerichtlich nur auf evidente Unsachlichkeit überprüfbar ist.</w:t>
      </w:r>
    </w:p>
    <w:p>
      <w:pPr>
        <w:jc w:val="left"/>
      </w:pPr>
      <w:r>
        <w:t>Die Vergabestelle hat ihre Auslegungsentscheidung (ÖPNV-Betrieb als Eignungserfordernis) sachlich begründet: Der konkrete Leistungsgegenstand (OT-Monitoring Leitstelle Fahrzeugflottensysteme) setzt ÖPNV-spezifisches Know-how voraus. Diese Einschätzung ist nachvollziehbar und keinesfalls evident unsachlich.</w:t>
      </w:r>
    </w:p>
    <w:p>
      <w:pPr>
        <w:jc w:val="left"/>
      </w:pPr>
      <w:r>
        <w:t>Die Vergabekammer hätte nicht ihre eigene Wertung an die Stelle der Vergabestellenentscheidung setzen dürfen.</w:t>
      </w:r>
    </w:p>
    <w:p>
      <w:pPr>
        <w:pStyle w:val="Heading3"/>
      </w:pPr>
      <w:r>
        <w:rPr>
          <w:rFonts w:ascii="Times New Roman" w:hAnsi="Times New Roman"/>
        </w:rPr>
        <w:t>2. Zu Tenor II: Aufklärungsgespräch ProtectIT SE</w:t>
      </w:r>
    </w:p>
    <w:p>
      <w:pPr>
        <w:jc w:val="left"/>
      </w:pPr>
      <w:r>
        <w:t>Die Vergabekammer hat die Änderung der Reaktionszeit von „30 Minuten" auf „60 Minuten" als unzulässige Nachverhandlung qualifiziert. Dies ist unzutreffend.</w:t>
      </w:r>
    </w:p>
    <w:p>
      <w:pPr>
        <w:jc w:val="left"/>
      </w:pPr>
      <w:r>
        <w:t>a) Die ursprüngliche Angabe „30 Minuten" in der Tabelle war ein offensichtlicher Schreibfehler (das Konzept enthielt an anderer Stelle die korrekte Angabe „60 Minuten"). Die Berichtigung eines offensichtlichen Irrtums ist nach § 15 Abs. 1 Satz 2 VgV zulässig.</w:t>
      </w:r>
    </w:p>
    <w:p>
      <w:pPr>
        <w:jc w:val="left"/>
      </w:pPr>
      <w:r>
        <w:t>b) Selbst wenn man die Änderung als Angebotsmodifikation qualifiziert: Die Konsequenz wäre nicht ein Ausschluss des gesamten Angebots, sondern allenfalls die Nichtberücksichtigung der geänderten Passage. Das ursprüngliche Konzept war auch auf Basis der 30-Minuten-Angabe nicht schlechter als das Angebot CyberShields.</w:t>
      </w:r>
    </w:p>
    <w:p>
      <w:pPr>
        <w:pStyle w:val="Heading3"/>
      </w:pPr>
      <w:r>
        <w:rPr>
          <w:rFonts w:ascii="Times New Roman" w:hAnsi="Times New Roman"/>
        </w:rPr>
        <w:t>3. Zur Kostenentscheidung</w:t>
      </w:r>
    </w:p>
    <w:p>
      <w:pPr>
        <w:jc w:val="left"/>
      </w:pPr>
      <w:r>
        <w:t>Die vollständige Kostenbelastung der Beschwerdeführerin ist ermessensfehlerhaft. Die Beschwerdeführerin hat eine nachvollziehbare Rechtsposition vertreten; die Rechtslage war in der Auslegungsfrage von T-2 nicht eindeutig.</w:t>
      </w:r>
    </w:p>
    <w:p>
      <w:pPr>
        <w:pStyle w:val="Heading2"/>
      </w:pPr>
      <w:r>
        <w:rPr>
          <w:rFonts w:ascii="Times New Roman" w:hAnsi="Times New Roman"/>
        </w:rPr>
        <w:t>III. Antrag</w:t>
      </w:r>
    </w:p>
    <w:p>
      <w:pPr>
        <w:jc w:val="left"/>
      </w:pPr>
      <w:r>
        <w:t>Die Beschwerdeführerin beantragt:</w:t>
      </w:r>
    </w:p>
    <w:p>
      <w:pPr>
        <w:pStyle w:val="ListNumber"/>
      </w:pPr>
      <w:r>
        <w:t>Den Beschluss der VK Bund vom 25.06.2026, Az. VK 1-32/26, in Tenor I, II, IV und V aufzuheben.</w:t>
      </w:r>
    </w:p>
    <w:p>
      <w:pPr>
        <w:pStyle w:val="ListNumber"/>
      </w:pPr>
      <w:r>
        <w:t>Den Nachprüfungsantrag der CyberShield Defense GmbH zurückzuweisen.</w:t>
      </w:r>
    </w:p>
    <w:p>
      <w:pPr>
        <w:pStyle w:val="ListNumber"/>
      </w:pPr>
      <w:r>
        <w:t>Der Beschwerdegegnerin die Kosten des gesamten Verfahrens (VK und OLG) aufzuerlegen.</w:t>
      </w:r>
    </w:p>
    <w:p>
      <w:pPr>
        <w:jc w:val="left"/>
      </w:pPr>
      <w:r>
        <w:rPr>
          <w:b/>
        </w:rPr>
        <w:t>Hilfsweise:</w:t>
      </w:r>
    </w:p>
    <w:p>
      <w:pPr>
        <w:jc w:val="left"/>
      </w:pPr>
      <w:r>
        <w:t>Aufhebung des Beschlusses hinsichtlich Tenor II (Ausschluss überarbeitetes Reaktionszeitenkonzept) und Zurückverweisung an die VK zur erneuten Sachentscheidung.</w:t>
      </w:r>
    </w:p>
    <w:p/>
    <w:p>
      <w:pPr>
        <w:jc w:val="left"/>
      </w:pPr>
      <w:r>
        <w:t>RAin Dr. Sandra Mertke</w:t>
      </w:r>
    </w:p>
    <w:p>
      <w:pPr>
        <w:jc w:val="left"/>
      </w:pPr>
      <w:r>
        <w:t>Kanzlei Vergaberecht Nord</w:t>
      </w:r>
    </w:p>
    <w:p/>
    <w:p>
      <w:pPr>
        <w:jc w:val="left"/>
      </w:pPr>
      <w:r>
        <w:rPr>
          <w:i/>
        </w:rPr>
        <w:t>[Verfahrensstand: Senat des OLG Düsseldorf hat für den 15.09.2026 eine mündliche Verhandlung angesetzt. Az. Verg 18/26.]</w:t>
      </w:r>
    </w:p>
    <w:p/>
    <w:p>
      <w:pPr>
        <w:jc w:val="left"/>
      </w:pPr>
      <w:r>
        <w:rPr>
          <w:i/>
        </w:rPr>
        <w:t>Dokument-Ende Aktenstück 18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Oberlandesgericht Düsseldorf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Oberlandesgericht Düsseldorf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Vergabesenat · Verg 18/26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