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22 – Kostenrechnung und Verfahrenskosten</w:t>
      </w:r>
    </w:p>
    <w:p>
      <w:pPr>
        <w:jc w:val="left"/>
      </w:pPr>
      <w:r>
        <w:rPr>
          <w:b/>
        </w:rPr>
        <w:t>Aktenzeichen:</w:t>
      </w:r>
      <w:r>
        <w:t xml:space="preserve"> VK 1-32/26 / Verg 18/26</w:t>
      </w:r>
    </w:p>
    <w:p>
      <w:pPr>
        <w:jc w:val="left"/>
      </w:pPr>
      <w:r>
        <w:rPr>
          <w:b/>
        </w:rPr>
        <w:t>Vorhabenbezeichnung:</w:t>
      </w:r>
      <w:r>
        <w:t xml:space="preserve"> LH-SN-Cyber-SOC-NSV-2026</w:t>
      </w:r>
    </w:p>
    <w:p>
      <w:pPr>
        <w:jc w:val="left"/>
      </w:pPr>
      <w:r>
        <w:rPr>
          <w:b/>
        </w:rPr>
        <w:t>Datum:</w:t>
      </w:r>
      <w:r>
        <w:t xml:space="preserve"> 01.07.2026</w:t>
      </w:r>
    </w:p>
    <w:p>
      <w:pPr>
        <w:jc w:val="left"/>
      </w:pPr>
      <w:r>
        <w:rPr>
          <w:b/>
        </w:rPr>
        <w:t>Erstellt von:</w:t>
      </w:r>
      <w:r>
        <w:t xml:space="preserve"> Kanzlei Bährens Vergaberecht (für CyberShield Defense GmbH)</w:t>
      </w:r>
    </w:p>
    <w:p/>
    <w:p>
      <w:pPr>
        <w:pStyle w:val="Heading2"/>
      </w:pPr>
      <w:r>
        <w:rPr>
          <w:rFonts w:ascii="Times New Roman" w:hAnsi="Times New Roman"/>
        </w:rPr>
        <w:t>Kostenübersicht Nachprüfungsverfahren VK 1-32/26</w:t>
      </w:r>
    </w:p>
    <w:p>
      <w:pPr>
        <w:pStyle w:val="Heading3"/>
      </w:pPr>
      <w:r>
        <w:rPr>
          <w:rFonts w:ascii="Times New Roman" w:hAnsi="Times New Roman"/>
        </w:rPr>
        <w:t>1. Verfahrensgebühren Vergabekammer (§ 182 GWB)</w:t>
      </w:r>
    </w:p>
    <w:p>
      <w:pPr>
        <w:jc w:val="left"/>
      </w:pPr>
      <w:r>
        <w:t>Die Vergabekammer berechnet die Verfahrensgebühr nach dem Auftragswert gem. § 182 Abs. 2 GWB i.V.m. der Anlage zu § 182 GWB.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Auftragswert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Gebührenrahmen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Im vorliegenden Fall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250.000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2.500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250.001 – 1 Mio.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2.500 EUR + 1% des Mehrbetrags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Mio. EUR – 10 Mio.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10.000 EUR + 0,5% des Mehrbetrags über 1 Mio.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Gesamtauftragswert 2.800.000 EUR</w:t>
            </w:r>
          </w:p>
        </w:tc>
      </w:tr>
    </w:tbl>
    <w:p>
      <w:pPr>
        <w:jc w:val="left"/>
      </w:pPr>
      <w:r>
        <w:t>Berechnung:</w:t>
      </w:r>
    </w:p>
    <w:p>
      <w:pPr>
        <w:pStyle w:val="ListBullet"/>
      </w:pPr>
      <w:r>
        <w:t>Grundgebühr: 10.000 EUR</w:t>
      </w:r>
    </w:p>
    <w:p>
      <w:pPr>
        <w:pStyle w:val="ListBullet"/>
      </w:pPr>
      <w:r>
        <w:t>Mehrbetrag: 1.800.000 EUR × 0,5% = 9.000 EUR</w:t>
      </w:r>
    </w:p>
    <w:p>
      <w:pPr>
        <w:pStyle w:val="ListBullet"/>
      </w:pPr>
      <w:r>
        <w:rPr>
          <w:b/>
        </w:rPr>
        <w:t>Verfahrensgebühr gesamt: 19.000 EUR</w:t>
      </w:r>
      <w:r>
        <w:t xml:space="preserve"> (Maximum; VK hat auf 6.250 EUR reduziert gem. § 182 Abs. 3 GWB – Vereinfachungsabschlag wegen Vergleichsbemühungen)</w:t>
      </w:r>
    </w:p>
    <w:p>
      <w:pPr>
        <w:jc w:val="left"/>
      </w:pPr>
      <w:r>
        <w:t>Gemäß VK-Beschluss (Tenor IV): Kostenlast bei Antragsgegnerin.</w:t>
      </w:r>
    </w:p>
    <w:p>
      <w:pPr>
        <w:pStyle w:val="Heading3"/>
      </w:pPr>
      <w:r>
        <w:rPr>
          <w:rFonts w:ascii="Times New Roman" w:hAnsi="Times New Roman"/>
        </w:rPr>
        <w:t>2. Anwaltliche Kosten Antragstellerin (CyberShield)</w:t>
      </w:r>
    </w:p>
    <w:p>
      <w:pPr>
        <w:jc w:val="left"/>
      </w:pPr>
      <w:r>
        <w:rPr>
          <w:b/>
        </w:rPr>
        <w:t>Gegenstandswert:</w:t>
      </w:r>
      <w:r>
        <w:t xml:space="preserve"> 2.800.000 EUR</w:t>
      </w:r>
    </w:p>
    <w:p>
      <w:pPr>
        <w:jc w:val="left"/>
      </w:pPr>
      <w:r>
        <w:t>(Auftragswert, maßgeblich für Vergabeverfahren gem. § 22 Abs. 2 RVG)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Gebührenposition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Gebührensatz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 Geschäftsgebühr Nr. 2300 VV-RVG (1,5 × Mittelgebühr)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Basis 2.800.000 EUR, VV Nr. 2300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16.720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 Terminsgebühr Nr. 3104 VV-RVG (Aufklärungstermin 04.06.2026)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1,2 ×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13.376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 Einigungsgebühr Nr. 1003 VV-RVG (anteilig, Vergleichsgespräch)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0,0 (Vergleich abgelehnt)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 Post- und Telekommunikationspauschale Nr. 7002 VV-RVG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 EUR Pauschalgebühr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Nettosumme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30.116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Umsatzsteuer 19%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5.722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Bruttosumme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35.838 EUR</w:t>
            </w:r>
          </w:p>
        </w:tc>
      </w:tr>
    </w:tbl>
    <w:p>
      <w:pPr>
        <w:ind w:left="567"/>
      </w:pPr>
      <w:r>
        <w:rPr>
          <w:i/>
        </w:rPr>
        <w:t>Diese Kosten trägt gem. VK-Beschluss Tenor V die Antragsgegnerin (Landeshauptstadt Schwerin / SDS).</w:t>
      </w:r>
    </w:p>
    <w:p>
      <w:pPr>
        <w:pStyle w:val="Heading3"/>
      </w:pPr>
      <w:r>
        <w:rPr>
          <w:rFonts w:ascii="Times New Roman" w:hAnsi="Times New Roman"/>
        </w:rPr>
        <w:t>3. Kosten OLG-Beschwerdeverfahren (Verg 18/26)</w:t>
      </w:r>
    </w:p>
    <w:p>
      <w:pPr>
        <w:jc w:val="left"/>
      </w:pPr>
      <w:r>
        <w:t>Das Beschwerdeverfahren beim OLG Düsseldorf wird voraussichtlich folgende Kosten verursachen: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Schätzung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Gerichtsgebühren OLG (GKG Anlage 2, Nr. 1701)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7.500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Anwaltliche Kosten Beschwerdegegnerin (CyberShield)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22.000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Anwaltliche Kosten Beschwerdeführerin (Schwerin/SDS)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22.000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Anwaltliche Kosten Beigeladene (ProtectIT)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18.000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Gesamtkosten OLG (geschätzt)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69.500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 Kosten De-facto-Vergabe-Klage (§ 135 Abs. 2 GWB)</w:t>
      </w:r>
    </w:p>
    <w:p>
      <w:pPr>
        <w:jc w:val="left"/>
      </w:pPr>
      <w:r>
        <w:t>Gesondertes OLG-Verfahren, noch nicht eingeleitet (Stand: 01.07.2026).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Schätzung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Gerichtsgebühren OLG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Anwaltliche Kosten CyberShield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De-facto-Klage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20.000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5. Schadensersatzpotenzial CyberShield (§ 181 GWB)</w:t>
      </w:r>
    </w:p>
    <w:p>
      <w:pPr>
        <w:jc w:val="left"/>
      </w:pPr>
      <w:r>
        <w:t>Sofern CyberShield nachweist, dass sie ohne den rechtswidrigen Ausschluss den Zuschlag erhalten hätte: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Schadensposition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Berechnung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Schätzung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Entgangener Gewinn Los 1 (SOC, 4 Jahre)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Deckungsbeitrag ca. 12% auf 1.680.000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201.600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Entgangener Gewinn Los 2 (ISB, 4 Jahre)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Deckungsbeitrag ca. 20% auf 660.000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132.000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Entgangener Gewinn Optionsjahre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15% auf 1.210.000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181.500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Verfahrenskosten VK + OLG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tatsächlich angefallen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75.000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Gesamtschadenspotenzial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ca. 590.100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6. Kostenentwicklung Zeitachse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Kosten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Rüge (erste anwaltliche Tätigkeit)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Nachprüfungsantrag VK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Anfall Geschäftsgebühr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04.06.2026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Aufklärungstermin VK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Anfall Terminsgebühr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VK-Beschluss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Kostenfestsetzung gg. Vergabestelle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Sofortige Beschwerde Schwerin/SDS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OLG-Verfahren beginnt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 De-facto-Vergabe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separates Verfahren</w:t>
            </w:r>
          </w:p>
        </w:tc>
      </w:tr>
    </w:tbl>
    <w:p/>
    <w:p>
      <w:pPr>
        <w:jc w:val="left"/>
      </w:pPr>
      <w:r>
        <w:rPr>
          <w:i/>
        </w:rPr>
        <w:t>Dokument-Ende Aktenstück 22 (letztes Aktenstück)</w:t>
      </w:r>
    </w:p>
    <w:p/>
    <w:p>
      <w:pPr>
        <w:jc w:val="left"/>
      </w:pPr>
      <w:r>
        <w:rPr>
          <w:b/>
        </w:rPr>
        <w:t>Gesamtaktenstand:</w:t>
      </w:r>
      <w:r>
        <w:t xml:space="preserve"> 22 Aktenstücke, Zeitraum Februar 2026 – Juli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CyberShield Defense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CYBERSHIELD DEFENSE GMBH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Rechtsanwaltskanzlei · Aktenzeichen: VK 1-32/26 / Verg 18/26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