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Anlagenverzeichnis Meyer ./. Alpha 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Kürzel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Datenschutz-/PDF-Check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2026-02-04_angebot_alpha_ug.pdf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Angebot und Leistungsbeschreibung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Vertragsinhalt, Leistungsumfang, Vergütung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Mandantendaten prüfen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2026-02-06_kontoauszug_rate_1.pdf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Zahlung 9.520 EUR brutto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erste Zahlung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übrige Umsätze schwärzen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2026-02-28_kontoauszug_rate_2.pdf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Zahlung 9.222,60 EUR brutto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zweite Zahlung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übrige Umsätze schwärzen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2026-03-14_lieferung_screenshot.pdf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Screenshot der unvollständigen Startseite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mangelhafte Lieferung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Metadaten entfernen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2026-03-15_login_video_protokoll.md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Protokoll zum Video der fehlgeschlagenen Login-Versuche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fehlende Funktion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Video separat benennen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2026-03-21_fristsetzung_email.pdf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Fristsetzung bis 31.03.2026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Nachfrist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E-Mail-Header lesbar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2026-04-03_ruecktritt_email.pdf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Rücktritt und Rückzahlungsverlangen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Rücktrittserklärung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 Rn. 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Zustellnachweis prüfen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2026-05-20_handelsregister_alpha_ug.pdf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aktueller Registerabruf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Parteibezeichnung, Vertretung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Rubrum und Prozessstand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Quelle und Zeitstempel dokumentieren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Härtung</w:t>
      </w:r>
    </w:p>
    <w:p>
      <w:pPr>
        <w:pStyle w:val="ListBullet"/>
      </w:pPr>
      <w:r>
        <w:t>Jede Anlage muss im Schriftsatz mindestens einmal ausdrücklich erwähnt werden.</w:t>
      </w:r>
    </w:p>
    <w:p>
      <w:pPr>
        <w:pStyle w:val="ListBullet"/>
      </w:pPr>
      <w:r>
        <w:t>Kein Anlagenkürzel darf doppelt vergeben werden.</w:t>
      </w:r>
    </w:p>
    <w:p>
      <w:pPr>
        <w:pStyle w:val="ListBullet"/>
      </w:pPr>
      <w:r>
        <w:t>Dateinamen bleiben gerichtstauglich: Datum, Inhalt, Kürzel, keine Sonderzeichen außer Bindestrich und Unterstrich.</w:t>
      </w:r>
    </w:p>
    <w:p>
      <w:pPr>
        <w:pStyle w:val="ListBullet"/>
      </w:pPr>
      <w:r>
        <w:t>Bei beA-Versand werden die finalen PDFs mit Anlagenkürzel im Dateinamen exportiert.</w:t>
      </w:r>
    </w:p>
    <w:p>
      <w:pPr>
        <w:pStyle w:val="ListBullet"/>
      </w:pPr>
      <w:r>
        <w:t>Sensible Bank-, Privat- und Kommunikationsdaten werden vor Versand geschwärzt.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Alpha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Alpha UG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