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Klage- und Replik-Schnellstart</w:t>
      </w:r>
    </w:p>
    <w:p>
      <w:pPr>
        <w:pStyle w:val="Heading2"/>
      </w:pPr>
      <w:r>
        <w:rPr>
          <w:rFonts w:ascii="Times New Roman" w:hAnsi="Times New Roman"/>
        </w:rPr>
        <w:t>Mandat</w:t>
      </w:r>
    </w:p>
    <w:p>
      <w:pPr>
        <w:pStyle w:val="ListBullet"/>
      </w:pPr>
      <w:r>
        <w:t xml:space="preserve">Akte: </w:t>
      </w:r>
      <w:r>
        <w:t>JR-2026-014 Meyer ./. Alpha UG</w:t>
      </w:r>
    </w:p>
    <w:p>
      <w:pPr>
        <w:pStyle w:val="ListBullet"/>
      </w:pPr>
      <w:r>
        <w:t>Mandantin: Nora Meyer, Prenzlauer Allee 81, 10405 Berlin</w:t>
      </w:r>
    </w:p>
    <w:p>
      <w:pPr>
        <w:pStyle w:val="ListBullet"/>
      </w:pPr>
      <w:r>
        <w:t>Gegnerin: Alpha UG (haftungsbeschränkt), angeblich Rosenthaler Straße 41, 10178 Berlin</w:t>
      </w:r>
    </w:p>
    <w:p>
      <w:pPr>
        <w:pStyle w:val="ListBullet"/>
      </w:pPr>
      <w:r>
        <w:t>Streitwert: 18.742,60 EUR</w:t>
      </w:r>
    </w:p>
    <w:p>
      <w:pPr>
        <w:pStyle w:val="ListBullet"/>
      </w:pPr>
      <w:r>
        <w:t>Gericht: Landgericht Berlin II, Zivilkammer</w:t>
      </w:r>
    </w:p>
    <w:p>
      <w:pPr>
        <w:pStyle w:val="ListBullet"/>
      </w:pPr>
      <w:r>
        <w:t>Frist: Replikfrist läuft kalendermäßig am 28.05.2026, 23:59 Uhr ab</w:t>
      </w:r>
    </w:p>
    <w:p>
      <w:pPr>
        <w:pStyle w:val="ListBullet"/>
      </w:pPr>
      <w:r>
        <w:t>Ziel: Zahlungsklage oder Replik schnell in einen versandfähigen Entwurf bringen</w:t>
      </w:r>
    </w:p>
    <w:p>
      <w:pPr>
        <w:pStyle w:val="Heading2"/>
      </w:pPr>
      <w:r>
        <w:rPr>
          <w:rFonts w:ascii="Times New Roman" w:hAnsi="Times New Roman"/>
        </w:rPr>
        <w:t>Rohsachverhalt</w:t>
      </w:r>
    </w:p>
    <w:p>
      <w:pPr>
        <w:jc w:val="left"/>
      </w:pPr>
      <w:r>
        <w:t>Nora Meyer beauftragte die Alpha UG am 04.02.2026 mit der Entwicklung einer Kanzlei-Webseite und eines Mandantenportals. Vereinbart waren 24.000 EUR netto, zahlbar in drei Raten. Die Mandantin zahlte am 06.02.2026 eine erste Rate von 9.520 EUR brutto und am 28.02.2026 weitere 9.222,60 EUR brutto. Am 14.03.2026 lieferte die Alpha UG nur eine unvollständige Startseite ohne Login, ohne Impressumsprüfung, ohne Datenschutztexte und ohne Exportfunktion. Nach Fristsetzung vom 21.03.2026 und Nachfrist bis 31.03.2026 erklärte Nora Meyer am 03.04.2026 den Rücktritt und verlangte Rückzahlung.</w:t>
      </w:r>
    </w:p>
    <w:p>
      <w:pPr>
        <w:jc w:val="left"/>
      </w:pPr>
      <w:r>
        <w:t>Die Gegenseite behauptet in der Klageerwiderung, die Mandantin habe ständig Änderungswünsche geschickt und den Projektfortschritt blockiert. Außerdem sei ein funktionierendes MVP geliefert worden. Belege fehlen. Die Mandantin hat WhatsApp-Screenshots, E-Mail-Korrespondenz, Kontoauszüge und ein Video der nicht funktionierenden Login-Funktion.</w:t>
      </w:r>
    </w:p>
    <w:p>
      <w:pPr>
        <w:pStyle w:val="Heading2"/>
      </w:pPr>
      <w:r>
        <w:rPr>
          <w:rFonts w:ascii="Times New Roman" w:hAnsi="Times New Roman"/>
        </w:rPr>
        <w:t>Anfänger-Modus: fehlende Pflichtinformationen</w:t>
      </w:r>
    </w:p>
    <w:p>
      <w:pPr>
        <w:pStyle w:val="ListBullet"/>
      </w:pPr>
      <w:r>
        <w:t>Ist der Vertrag als Werkvertrag, Dienstvertrag oder gemischter Vertrag zu behandeln?</w:t>
      </w:r>
    </w:p>
    <w:p>
      <w:pPr>
        <w:pStyle w:val="ListBullet"/>
      </w:pPr>
      <w:r>
        <w:t>Gibt es eine ausdrückliche Abnahme?</w:t>
      </w:r>
    </w:p>
    <w:p>
      <w:pPr>
        <w:pStyle w:val="ListBullet"/>
      </w:pPr>
      <w:r>
        <w:t>Welche konkrete Nachfrist wurde gesetzt?</w:t>
      </w:r>
    </w:p>
    <w:p>
      <w:pPr>
        <w:pStyle w:val="ListBullet"/>
      </w:pPr>
      <w:r>
        <w:t>Welche Mängel sind technisch belegbar?</w:t>
      </w:r>
    </w:p>
    <w:p>
      <w:pPr>
        <w:pStyle w:val="ListBullet"/>
      </w:pPr>
      <w:r>
        <w:t>Ist die Alpha UG richtig bezeichnet und aktuell vertretungsberechtigt?</w:t>
      </w:r>
    </w:p>
    <w:p>
      <w:pPr>
        <w:pStyle w:val="ListBullet"/>
      </w:pPr>
      <w:r>
        <w:t>Sind Kontoauszüge und Screenshots datenschutzarm geschwärzt?</w:t>
      </w:r>
    </w:p>
    <w:p>
      <w:pPr>
        <w:pStyle w:val="Heading2"/>
      </w:pPr>
      <w:r>
        <w:rPr>
          <w:rFonts w:ascii="Times New Roman" w:hAnsi="Times New Roman"/>
        </w:rPr>
        <w:t>Profi-Modus: taktische Prüfpunkte</w:t>
      </w:r>
    </w:p>
    <w:p>
      <w:pPr>
        <w:pStyle w:val="ListBullet"/>
      </w:pPr>
      <w:r>
        <w:t>Vorrangige Anspruchsgrundlage: Rücktritt mit Rückgewähr, hilfsweise Schadensersatz statt Leistung, hilfsweise ungerechtfertigte Bereicherung.</w:t>
      </w:r>
    </w:p>
    <w:p>
      <w:pPr>
        <w:pStyle w:val="ListBullet"/>
      </w:pPr>
      <w:r>
        <w:t>Darlegungs- und Beweislast für vertragsgemäße Leistung sowie Abnahme sauber trennen.</w:t>
      </w:r>
    </w:p>
    <w:p>
      <w:pPr>
        <w:pStyle w:val="ListBullet"/>
      </w:pPr>
      <w:r>
        <w:t>Gegenseitigen Vortrag nicht nur bestreiten, sondern mit Projektchronologie und Anlagen widerlegen.</w:t>
      </w:r>
    </w:p>
    <w:p>
      <w:pPr>
        <w:pStyle w:val="ListBullet"/>
      </w:pPr>
      <w:r>
        <w:t>Handelsregisterabruf wegen Parteibezeichnung, Vertretung und Zustellung einbauen.</w:t>
      </w:r>
    </w:p>
    <w:p>
      <w:pPr>
        <w:pStyle w:val="ListBullet"/>
      </w:pPr>
      <w:r>
        <w:t>Streitwert, Zuständigkeit und Nebenforderungen prüfen.</w:t>
      </w:r>
    </w:p>
    <w:p>
      <w:pPr>
        <w:pStyle w:val="ListBullet"/>
      </w:pPr>
      <w:r>
        <w:t>Hilfsantrag oder sekundäre Anspruchsbegründung aufnehmen, wenn Rücktritt angreifbar ist.</w:t>
      </w:r>
    </w:p>
    <w:p>
      <w:pPr>
        <w:pStyle w:val="Heading2"/>
      </w:pPr>
      <w:r>
        <w:rPr>
          <w:rFonts w:ascii="Times New Roman" w:hAnsi="Times New Roman"/>
        </w:rPr>
        <w:t>Erwartete Plugin-Ausgabe</w:t>
      </w:r>
    </w:p>
    <w:p>
      <w:pPr>
        <w:pStyle w:val="ListNumber"/>
      </w:pPr>
      <w:r>
        <w:t>Kurze Rückfrage, ob Klage oder Replik erstellt werden soll.</w:t>
      </w:r>
    </w:p>
    <w:p>
      <w:pPr>
        <w:pStyle w:val="ListNumber"/>
      </w:pPr>
      <w:r>
        <w:t>Sofortiges Schriftsatzgerüst mit Antrag, Chronologie, Beweisen und Anlagen.</w:t>
      </w:r>
    </w:p>
    <w:p>
      <w:pPr>
        <w:pStyle w:val="ListNumber"/>
      </w:pPr>
      <w:r>
        <w:t>Anlagenverzeichnis mit K 1 bis K 8.</w:t>
      </w:r>
    </w:p>
    <w:p>
      <w:pPr>
        <w:pStyle w:val="ListNumber"/>
      </w:pPr>
      <w:r>
        <w:t>Replik-Prüfmatrix: Behauptung der Gegenseite, Einordnung, Antwort, Beweis.</w:t>
      </w:r>
    </w:p>
    <w:p>
      <w:pPr>
        <w:pStyle w:val="ListNumber"/>
      </w:pPr>
      <w:r>
        <w:t xml:space="preserve">Qualitätsgate in mindestens </w:t>
      </w:r>
      <w:r>
        <w:t>Normal</w:t>
      </w:r>
      <w:r>
        <w:t xml:space="preserve">, bei knapper Frist zusätzlich </w:t>
      </w:r>
      <w:r>
        <w:t>Schnellcheck</w:t>
      </w:r>
      <w:r>
        <w:t>.</w:t>
      </w:r>
    </w:p>
    <w:p>
      <w:pPr>
        <w:pStyle w:val="ListNumber"/>
      </w:pPr>
      <w:r>
        <w:t>Versandcheck für beA mit PDF-/Dateinamen-/Fristprüfung.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Alpha UG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Alpha UG</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