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Falkenried &amp; Partner mbB — Management Briefing Q2/2026</w:t>
      </w:r>
    </w:p>
    <w:p>
      <w:pPr>
        <w:jc w:val="left"/>
      </w:pPr>
      <w:r>
        <w:t>Falkenried &amp; Partner mbB ist eine mittelständische Wirtschaftskanzlei mit Standorten in Köln und Düsseldorf. Nach außen wirkt alles ruhig: gutes Corporate/M&amp;A-Geschäft, starkes Arbeitsrecht, wachsende Datenschutz-/IT-Praxis, solide Prozessarbeit. Innen ist die Lage weniger glatt.</w:t>
      </w:r>
    </w:p>
    <w:p>
      <w:pPr>
        <w:jc w:val="left"/>
      </w:pPr>
      <w:r>
        <w:t>Die Kanzlei hat im Q2/2026 einen Umsatz von 4,92 Mio. EUR erzielt, 6,5 % über Vorjahr. Gleichzeitig liegt der Cash-Bestand nur noch bei 1,18 Mio. EUR, weil WIP und offene Posten zu stark steigen. Der Partnerkreis spricht gern von Wachstum; Finance spricht von Geld, das noch nicht auf dem Konto ist. Beide haben recht, aber nur einer bezahlt am 28. des Monats Gehälter.</w:t>
      </w:r>
    </w:p>
    <w:p>
      <w:pPr>
        <w:pStyle w:val="Heading2"/>
      </w:pPr>
      <w:r>
        <w:rPr>
          <w:rFonts w:ascii="Times New Roman" w:hAnsi="Times New Roman"/>
        </w:rPr>
        <w:t>Hauptthemen</w:t>
      </w:r>
    </w:p>
    <w:p>
      <w:pPr>
        <w:pStyle w:val="ListNumber"/>
      </w:pPr>
      <w:r>
        <w:t>WIP über 120 Tage: 1,34 Mio. EUR, davon 710.000 EUR in drei Partnerportfolios.</w:t>
      </w:r>
    </w:p>
    <w:p>
      <w:pPr>
        <w:pStyle w:val="ListNumber"/>
      </w:pPr>
      <w:r>
        <w:t>Offene Posten über 60 Tage: 865.000 EUR, Schwerpunkt Litigation und ein Automotive-Key-Account.</w:t>
      </w:r>
    </w:p>
    <w:p>
      <w:pPr>
        <w:pStyle w:val="ListNumber"/>
      </w:pPr>
      <w:r>
        <w:t>Associate-Auslastung: Durchschnitt 89 %, zwei Associates bei 117 % und 122 % über acht Wochen.</w:t>
      </w:r>
    </w:p>
    <w:p>
      <w:pPr>
        <w:pStyle w:val="ListNumber"/>
      </w:pPr>
      <w:r>
        <w:t>Corporate Realization: nur 82 %, weil Pitch-Rabatte nicht nachverhandelt wurden.</w:t>
      </w:r>
    </w:p>
    <w:p>
      <w:pPr>
        <w:pStyle w:val="ListNumber"/>
      </w:pPr>
      <w:r>
        <w:t>Partnerkonflikt: Dr. Hohenlohe verlangt höhere Origination Credits und droht mit Seitengesprächen im Markt.</w:t>
      </w:r>
    </w:p>
    <w:p>
      <w:pPr>
        <w:pStyle w:val="ListNumber"/>
      </w:pPr>
      <w:r>
        <w:t>IT/DMS/KI-Investition: 480.000 EUR über 18 Monate, fachlich sinnvoll, Cash-technisch schlecht getimt.</w:t>
      </w:r>
    </w:p>
    <w:p>
      <w:pPr>
        <w:pStyle w:val="Heading2"/>
      </w:pPr>
      <w:r>
        <w:rPr>
          <w:rFonts w:ascii="Times New Roman" w:hAnsi="Times New Roman"/>
        </w:rPr>
        <w:t>Vorläufige These</w:t>
      </w:r>
    </w:p>
    <w:p>
      <w:pPr>
        <w:jc w:val="left"/>
      </w:pPr>
      <w:r>
        <w:t>Die Kanzlei hat kein Nachfrageproblem. Sie hat ein Führungs-, Pricing- und Working-Capital-Problem. Die gefährliche Mischung lautet: zu viele Mandate unter Preis, zu späte Rechnungen, zu diplomatische Partnergespräche und zu wenig Schutz für gute Associates.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Falkenried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FALKENRIED &amp; PARTNER MBB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