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Falkenried &amp; Partner mbB - Partnerklausur Q2/2026</w:t>
      </w:r>
    </w:p>
    <w:p>
      <w:r>
        <w:t>Zweck der Klausur ist nicht, das Kanzleigefühl zu polieren, sondern fünf konkrete Entscheidungen zu treffen.</w:t>
      </w:r>
    </w:p>
    <w:p>
      <w:r>
        <w:t>Block 1: Zahlen ohne Theater. Cash, WIP, AR, UBT, FTE, Utilization, Realization und Pipeline.</w:t>
      </w:r>
    </w:p>
    <w:p>
      <w:r>
        <w:t>Block 2: Partnerkreis. Origination, Execution, Nachfolge, Konflikte, Rainmaker-Abhängigkeit.</w:t>
      </w:r>
    </w:p>
    <w:p>
      <w:r>
        <w:t>Block 3: People. Associate-Retention, Feedback, Staffing, Ausbildungswert, Überlastspitzen.</w:t>
      </w:r>
    </w:p>
    <w:p>
      <w:r>
        <w:t>Block 4: Pricing. Rabatte, Caps, Retainer, Festpreise, Change Requests, RVG/BRAO-Grenzen.</w:t>
      </w:r>
    </w:p>
    <w:p>
      <w:pPr>
        <w:pStyle w:val="Heading1"/>
      </w:pPr>
      <w:r>
        <w:t>Beschlussvorschläge</w:t>
      </w:r>
    </w:p>
    <w:p>
      <w:pPr>
        <w:pStyle w:val="ListBullet"/>
      </w:pPr>
      <w:r>
        <w:t>WIP &gt;120 Tage wird bis 31.07. mit Partner-Ownern abgearbeitet.</w:t>
      </w:r>
    </w:p>
    <w:p>
      <w:pPr>
        <w:pStyle w:val="ListBullet"/>
      </w:pPr>
      <w:r>
        <w:t>Rabatte &gt;10 % brauchen Pricing-Freigabe.</w:t>
      </w:r>
    </w:p>
    <w:p>
      <w:pPr>
        <w:pStyle w:val="ListBullet"/>
      </w:pPr>
      <w:r>
        <w:t>Zwei Stay Interviews innerhalb von fünf Arbeitstagen.</w:t>
      </w:r>
    </w:p>
    <w:p>
      <w:pPr>
        <w:pStyle w:val="ListBullet"/>
      </w:pPr>
      <w:r>
        <w:t>Partner Scorecards werden quartalsweise pilotiert.</w:t>
      </w:r>
    </w:p>
    <w:p>
      <w:pPr>
        <w:pStyle w:val="ListBullet"/>
      </w:pPr>
      <w:r>
        <w:t>DMS/KI-Investition wird in zwei Phasen geteilt.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Falkenried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FALKENRIED &amp; PARTNER MBB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