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Mandatsannahme — Kanzleigründung EFS Rechtsanwaltsgesellschaft mbH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Datum Erstgespräch:</w:t>
      </w:r>
      <w:r>
        <w:t xml:space="preserve"> 17. Februar 2026</w:t>
      </w:r>
    </w:p>
    <w:p>
      <w:pPr>
        <w:jc w:val="left"/>
      </w:pPr>
      <w:r>
        <w:rPr>
          <w:b/>
        </w:rPr>
        <w:t>Sachbearbeiterin:</w:t>
      </w:r>
      <w:r>
        <w:t xml:space="preserve"> RA Monika Hellwig (Beratungskanzlei Hellwig &amp; Partner, Köln)</w:t>
      </w:r>
    </w:p>
    <w:p>
      <w:pPr>
        <w:jc w:val="left"/>
      </w:pPr>
      <w:r>
        <w:rPr>
          <w:b/>
        </w:rPr>
        <w:t>Mandanten:</w:t>
      </w:r>
      <w:r>
        <w:t xml:space="preserve"> Dr. Hilke Eckermann, Dr. Matthias Friedrich, Dr. Volker Sandhof</w:t>
      </w:r>
    </w:p>
    <w:p/>
    <w:p>
      <w:pPr>
        <w:pStyle w:val="Heading2"/>
      </w:pPr>
      <w:r>
        <w:rPr>
          <w:rFonts w:ascii="Times New Roman" w:hAnsi="Times New Roman"/>
        </w:rPr>
        <w:t>1. Gesprächsnotiz Erstgespräch</w:t>
      </w:r>
    </w:p>
    <w:p>
      <w:pPr>
        <w:jc w:val="left"/>
      </w:pPr>
      <w:r>
        <w:t>Am 17. Februar 2026 erschienen die drei Gründungspartner Dr. Hilke Eckermann (Fachanwältin für Sozialrecht), Dr. Matthias Friedrich (Fachanwalt für Arbeitsrecht) und Dr. Volker Sandhof (Fachanwalt für Steuerrecht) gemeinsam in der Kanzlei Hellwig &amp; Partner, Köln. Das Gespräch dauerte ca. zwei Stunden zwanzig Minuten.</w:t>
      </w:r>
    </w:p>
    <w:p>
      <w:pPr>
        <w:pStyle w:val="Heading3"/>
      </w:pPr>
      <w:r>
        <w:rPr>
          <w:rFonts w:ascii="Times New Roman" w:hAnsi="Times New Roman"/>
        </w:rPr>
        <w:t>Mandatsgegenstand</w:t>
      </w:r>
    </w:p>
    <w:p>
      <w:pPr>
        <w:jc w:val="left"/>
      </w:pPr>
      <w:r>
        <w:t xml:space="preserve">Die drei Herren und Damen erteilen Mandat zur Beratung und Begleitung der Gründung einer gemeinsamen Rechtsanwaltsgesellschaft unter der Firma </w:t>
      </w:r>
      <w:r>
        <w:rPr>
          <w:b/>
        </w:rPr>
        <w:t>Eckermann Friedrich Sandhof Rechtsanwaltsgesellschaft mbH</w:t>
      </w:r>
      <w:r>
        <w:t xml:space="preserve"> mit Sitz in Aachen. Neben der gesellschaftsrechtlichen Strukturierung umfasst das Mandat:</w:t>
      </w:r>
    </w:p>
    <w:p>
      <w:pPr>
        <w:pStyle w:val="ListBullet"/>
      </w:pPr>
      <w:r>
        <w:t>Rechtsformwahl (PartG mbB, RA-GmbH, RA-AG)</w:t>
      </w:r>
    </w:p>
    <w:p>
      <w:pPr>
        <w:pStyle w:val="ListBullet"/>
      </w:pPr>
      <w:r>
        <w:t>Gesellschaftsvertrag und Gewinnverteilung</w:t>
      </w:r>
    </w:p>
    <w:p>
      <w:pPr>
        <w:pStyle w:val="ListBullet"/>
      </w:pPr>
      <w:r>
        <w:t>Zulassungsverfahren bei der Rechtsanwaltskammer Aachen (§ 59n BRAO)</w:t>
      </w:r>
    </w:p>
    <w:p>
      <w:pPr>
        <w:pStyle w:val="ListBullet"/>
      </w:pPr>
      <w:r>
        <w:t>Betriebsübergang aus drei Vorgängerkanzleien (§ 613a BGB)</w:t>
      </w:r>
    </w:p>
    <w:p>
      <w:pPr>
        <w:pStyle w:val="ListBullet"/>
      </w:pPr>
      <w:r>
        <w:t>Marken- und Domainangelegenheiten</w:t>
      </w:r>
    </w:p>
    <w:p>
      <w:pPr>
        <w:pStyle w:val="ListBullet"/>
      </w:pPr>
      <w:r>
        <w:t>Mandantenüberleitung (DSGVO, BRAO)</w:t>
      </w:r>
    </w:p>
    <w:p>
      <w:pPr>
        <w:pStyle w:val="ListBullet"/>
      </w:pPr>
      <w:r>
        <w:t>Steuerliche Strukturierung</w:t>
      </w:r>
    </w:p>
    <w:p>
      <w:pPr>
        <w:pStyle w:val="ListBullet"/>
      </w:pPr>
      <w:r>
        <w:t>Berufshaftpflichtversicherung (§ 51 BRAO)</w:t>
      </w:r>
    </w:p>
    <w:p>
      <w:pPr>
        <w:pStyle w:val="Heading3"/>
      </w:pPr>
      <w:r>
        <w:rPr>
          <w:rFonts w:ascii="Times New Roman" w:hAnsi="Times New Roman"/>
        </w:rPr>
        <w:t>Interessenkonflikt-Prüfung</w:t>
      </w:r>
    </w:p>
    <w:p>
      <w:pPr>
        <w:jc w:val="left"/>
      </w:pPr>
      <w:r>
        <w:t>Eine Interessenkollision zwischen den drei Mandanten wurde geprüft. Die Gründungspartner verfolgen gemeinsame Interessen; ein struktureller Interessenkonflikt liegt nicht vor. Für den Fall künftiger Meinungsverschiedenheiten zwischen den Gründern wird eine Nachtragsvereinbarung über gesonderte Vertretung vereinbart.</w:t>
      </w:r>
    </w:p>
    <w:p>
      <w:pPr>
        <w:jc w:val="left"/>
      </w:pPr>
      <w:r>
        <w:t>Die Kanzlei Hellwig &amp; Partner führt keine eigenen Rechtsanwaltssozietäten und steht nicht in Wettbewerb zu der zu gründenden Kanzlei. BORA § 3 (Interessenkollision) ist gewahrt.</w:t>
      </w:r>
    </w:p>
    <w:p>
      <w:pPr>
        <w:pStyle w:val="Heading3"/>
      </w:pPr>
      <w:r>
        <w:rPr>
          <w:rFonts w:ascii="Times New Roman" w:hAnsi="Times New Roman"/>
        </w:rPr>
        <w:t>Vollmacht</w:t>
      </w:r>
    </w:p>
    <w:p>
      <w:pPr>
        <w:jc w:val="left"/>
      </w:pPr>
      <w:r>
        <w:t>Sämtliche drei Mandanten unterzeichnen Vollmacht am 17. Februar 2026 (Anlage zum Akt). Die Vollmacht umfasst ausdrücklich Schriftwechsel mit der RAK Aachen, dem Deutschen Patent- und Markenamt, der DENIC eG sowie Versicherungsgesellschaften.</w:t>
      </w:r>
    </w:p>
    <w:p/>
    <w:p>
      <w:pPr>
        <w:pStyle w:val="Heading2"/>
      </w:pPr>
      <w:r>
        <w:rPr>
          <w:rFonts w:ascii="Times New Roman" w:hAnsi="Times New Roman"/>
        </w:rPr>
        <w:t>2. Vergütungsvereinbarung</w:t>
      </w:r>
    </w:p>
    <w:p>
      <w:pPr>
        <w:jc w:val="left"/>
      </w:pPr>
      <w:r>
        <w:t>Es wird eine Pauschalvergütung für die Gründungsbegleitung vereinbart: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Leistungsblock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Pauschale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Rechtsformwahl und Gesellschaftsvertrag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RAK-Zulassungsverfahren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Betriebsübergang und Arbeitsrecht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Marken- und Domainrecht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DSGVO/Mandantenüberleitung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Steuerstrukturierung (Koordination Steuerberater)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 (Vertragsanalyse)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11.200 EUR</w:t>
            </w:r>
          </w:p>
        </w:tc>
      </w:tr>
    </w:tbl>
    <w:p>
      <w:pPr>
        <w:jc w:val="left"/>
      </w:pPr>
      <w:r>
        <w:t>Zzgl. 19 % USt. Abrechnung nach Leistungsabschnitt. Vorschuss 4.000 EUR bis 25.02.2026.</w:t>
      </w:r>
    </w:p>
    <w:p/>
    <w:p>
      <w:pPr>
        <w:pStyle w:val="Heading2"/>
      </w:pPr>
      <w:r>
        <w:rPr>
          <w:rFonts w:ascii="Times New Roman" w:hAnsi="Times New Roman"/>
        </w:rPr>
        <w:t>3. Zeitplan (Grob)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Zieldatum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Rechtsformwahl abgeschlossen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Gesellschaftsvertragsentwurf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Notartermin Beurkundung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Handelsregistereintragung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RAK-Zulassungsantrag gestellt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RAK-Zulassungsbescheid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30.04.2026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Betriebsübergang / Übergabetag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Kanzleieröffnung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Offene Punkte nach Erstgespräch</w:t>
      </w:r>
    </w:p>
    <w:p>
      <w:pPr>
        <w:pStyle w:val="ListNumber"/>
      </w:pPr>
      <w:r>
        <w:t>Dr. Sandhof klärt bis 25.02.2026, ob sein bisheriger Arbeitgeber (Kanzlei Sandhof Steuerrecht GbR Aachen) einer Konkurrenzklausel unterliegt.</w:t>
      </w:r>
    </w:p>
    <w:p>
      <w:pPr>
        <w:pStyle w:val="ListNumber"/>
      </w:pPr>
      <w:r>
        <w:t>Dr. Eckermann reicht Nachweise über ihre aktuelle Zulassung und Kammermitgliedschaft ein.</w:t>
      </w:r>
    </w:p>
    <w:p>
      <w:pPr>
        <w:pStyle w:val="ListNumber"/>
      </w:pPr>
      <w:r>
        <w:t>Dr. Friedrich stellt die aktuelle Mitarbeiterliste seiner Vorgängerkanzlei zur Verfügung.</w:t>
      </w:r>
    </w:p>
    <w:p>
      <w:pPr>
        <w:pStyle w:val="ListNumber"/>
      </w:pPr>
      <w:r>
        <w:t>Alle drei: Klärung der Domainverfügbarkeit "efs-recht.de" — Recherche ergab mögliche Belegung durch Dritte.</w:t>
      </w:r>
    </w:p>
    <w:p>
      <w:pPr>
        <w:pStyle w:val="ListNumber"/>
      </w:pPr>
      <w:r>
        <w:t>Finanzierungsgespräch Stammkapital: Mindestkapital RA-GmbH 25.000 EUR (§ 5 GmbHG) — Aufteilung noch offen.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BRAO §§ 59c–59q (Rechtsanwaltsgesellschaft): dejure.org/gesetze/BRAO</w:t>
      </w:r>
    </w:p>
    <w:p>
      <w:pPr>
        <w:pStyle w:val="ListBullet"/>
      </w:pPr>
      <w:r>
        <w:t>BORA § 3 (Interessenkollision): dejure.org/gesetze/BORA</w:t>
      </w:r>
    </w:p>
    <w:p>
      <w:pPr>
        <w:pStyle w:val="ListBullet"/>
      </w:pPr>
      <w:r>
        <w:t>GmbHG § 5 (Stammkapital): dejure.org/gesetze/GmbHG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Kanzleigründung EFS Rechtsanwaltsgesellschaft 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KANZLEIGRÜNDUNG EFS RECHTSANWALTSGESELLSCHAFT MBH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 · Aktenzeichen: KBH-2026-001-EFS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