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Mandatsannahme — Zusammenschlusskontrolle Grosskopf Betonwerk Westfalen GmbH / Tannenheim Betonelemente AG</w:t>
      </w:r>
    </w:p>
    <w:p>
      <w:pPr>
        <w:jc w:val="left"/>
      </w:pPr>
      <w:r>
        <w:t>Datum: 17. Februar 2026</w:t>
      </w:r>
    </w:p>
    <w:p>
      <w:pPr>
        <w:jc w:val="left"/>
      </w:pPr>
      <w:r>
        <w:t>Mandantin: Grosskopf Betonwerk Westfalen GmbH, Schifffahrter Damm 299, 48145 Münster</w:t>
      </w:r>
    </w:p>
    <w:p>
      <w:pPr>
        <w:jc w:val="left"/>
      </w:pPr>
      <w:r>
        <w:t>Kanzlei: Prof. Dr. Cornelius Friedrich Schwertbeck &amp; Partner Rechtsanwälte, Graf-Adolf-Platz 5, 40213 Düsseldorf (Brüssel-Office: Rue de la Loi 155, 1040 Brüssel)</w:t>
      </w:r>
    </w:p>
    <w:p>
      <w:pPr>
        <w:jc w:val="left"/>
      </w:pPr>
      <w:r>
        <w:t>Sachbearbeiter: Prof. Dr. Cornelius Friedrich Schwertbeck, RA Stefan Brinkmeier (Düsseldorf), RAin Dr. Annette van Hove (Brüssel)</w:t>
      </w:r>
    </w:p>
    <w:p>
      <w:pPr>
        <w:jc w:val="left"/>
      </w:pPr>
      <w:r>
        <w:t>Aktenzeichen intern: SW/2026/KA-0318</w:t>
      </w:r>
    </w:p>
    <w:p/>
    <w:p>
      <w:pPr>
        <w:pStyle w:val="Heading2"/>
      </w:pPr>
      <w:r>
        <w:rPr>
          <w:rFonts w:ascii="Times New Roman" w:hAnsi="Times New Roman"/>
        </w:rPr>
        <w:t>1. Mandantenvorstellung und Erstgespräch</w:t>
      </w:r>
    </w:p>
    <w:p>
      <w:pPr>
        <w:jc w:val="left"/>
      </w:pPr>
      <w:r>
        <w:t>Das Erstgespräch fand am 14. Februar 2026 in den Kanzleiräumen in Düsseldorf statt. Erschienen sind der Geschäftsführer der Grosskopf Betonwerk Westfalen GmbH, Herr Dipl.-Ing. Markus Grosskopf-Hartmann (geschäftsführender Gesellschafter), sowie die Leiterin der Rechtsabteilung, Frau Rechtsanwältin Petra Niebuhr-Völkel. Herr Grosskopf-Hartmann skizzierte das Vorhaben in ruhigem, strategisch durchdachtem Ton; die technischen und marktbezogenen Aspekte erläuterte Frau Niebuhr-Völkel anhand eines vorbereiteten Informationsmemorandums.</w:t>
      </w:r>
    </w:p>
    <w:p>
      <w:pPr>
        <w:jc w:val="left"/>
      </w:pPr>
      <w:r>
        <w:t>Gegenstand des Mandats ist die beabsichtigte Übernahme sämtlicher Geschäftsanteile der Tannenheim Betonelemente AG, Detmolder Straße 840, 33699 Bielefeld, durch die Grosskopf Betonwerk Westfalen GmbH. Das Signing des Unternehmenskaufvertrags (Share Purchase Agreement, SPA) ist für den 15. März 2026 geplant. Ein Closing soll erst nach Erteilung sämtlicher fusionskontrollrechtlicher Freigaben erfolgen. Vollzugsverbot gemäß § 41 Abs. 1 GWB und Art. 7 FKVO 139/2004 ist beiden Parteien bewusst.</w:t>
      </w:r>
    </w:p>
    <w:p/>
    <w:p>
      <w:pPr>
        <w:pStyle w:val="Heading2"/>
      </w:pPr>
      <w:r>
        <w:rPr>
          <w:rFonts w:ascii="Times New Roman" w:hAnsi="Times New Roman"/>
        </w:rPr>
        <w:t>2. Unternehmensprofil Mandantin</w:t>
      </w:r>
    </w:p>
    <w:p>
      <w:pPr>
        <w:jc w:val="left"/>
      </w:pPr>
      <w:r>
        <w:rPr>
          <w:b/>
        </w:rPr>
        <w:t>Grosskopf Betonwerk Westfalen GmbH (GBW)</w:t>
      </w:r>
    </w:p>
    <w:p>
      <w:pPr>
        <w:pStyle w:val="ListBullet"/>
      </w:pPr>
      <w:r>
        <w:t>Sitz: Münster (NRW)</w:t>
      </w:r>
    </w:p>
    <w:p>
      <w:pPr>
        <w:pStyle w:val="ListBullet"/>
      </w:pPr>
      <w:r>
        <w:t>Rechtsform: GmbH</w:t>
      </w:r>
    </w:p>
    <w:p>
      <w:pPr>
        <w:pStyle w:val="ListBullet"/>
      </w:pPr>
      <w:r>
        <w:t>Gesellschafter: Familie Grosskopf-Hartmann (81 %), Beteiligungsgesellschaft WestCap GmbH (19 %)</w:t>
      </w:r>
    </w:p>
    <w:p>
      <w:pPr>
        <w:pStyle w:val="ListBullet"/>
      </w:pPr>
      <w:r>
        <w:t>Mitarbeiter: 188 (Vollzeitäquivalente, Stand 31.12.2025)</w:t>
      </w:r>
    </w:p>
    <w:p>
      <w:pPr>
        <w:pStyle w:val="ListBullet"/>
      </w:pPr>
      <w:r>
        <w:t>Umsatz 2025 (vorläufig): 74,3 Mio. EUR (konzernweit inkl. Tochter GBW Nederland B.V., Venlo)</w:t>
      </w:r>
    </w:p>
    <w:p>
      <w:pPr>
        <w:pStyle w:val="ListBullet"/>
      </w:pPr>
      <w:r>
        <w:t>Umsatz Deutschland: 58,1 Mio. EUR</w:t>
      </w:r>
    </w:p>
    <w:p>
      <w:pPr>
        <w:pStyle w:val="ListBullet"/>
      </w:pPr>
      <w:r>
        <w:t>Umsatz Niederlande: 11,6 Mio. EUR</w:t>
      </w:r>
    </w:p>
    <w:p>
      <w:pPr>
        <w:pStyle w:val="ListBullet"/>
      </w:pPr>
      <w:r>
        <w:t>Umsatz Belgien: 4,6 Mio. EUR</w:t>
      </w:r>
    </w:p>
    <w:p>
      <w:pPr>
        <w:pStyle w:val="ListBullet"/>
      </w:pPr>
      <w:r>
        <w:t>Kernprodukt: Vorgespannte Betonschwellen (Spannbetonschwellen) für Vollbahn, Straßenbahn und Industriebahn; außerdem Weichenschwellen und Brückenschwellen</w:t>
      </w:r>
    </w:p>
    <w:p>
      <w:pPr>
        <w:pStyle w:val="ListBullet"/>
      </w:pPr>
      <w:r>
        <w:t>Marktanteil DE (Segment Bahnbetonschwellen, eigene Schätzung): ca. 38 %</w:t>
      </w:r>
    </w:p>
    <w:p>
      <w:pPr>
        <w:pStyle w:val="ListBullet"/>
      </w:pPr>
      <w:r>
        <w:t>Fertigungsstandorte: Münster (Hauptwerk), Hamm (Zweigwerk)</w:t>
      </w:r>
    </w:p>
    <w:p>
      <w:pPr>
        <w:pStyle w:val="ListBullet"/>
      </w:pPr>
      <w:r>
        <w:t>Kunden: Deutsche Bahn AG (größter Abnehmer, Rahmenvertrag 2024–2028), Netz-Betreiber Ruhr, mehrere Industriebahn-Betreiber</w:t>
      </w:r>
    </w:p>
    <w:p>
      <w:pPr>
        <w:jc w:val="left"/>
      </w:pPr>
      <w:r>
        <w:rPr>
          <w:b/>
        </w:rPr>
        <w:t>GBW Nederland B.V. (Tochtergesellschaft)</w:t>
      </w:r>
    </w:p>
    <w:p>
      <w:pPr>
        <w:pStyle w:val="ListBullet"/>
      </w:pPr>
      <w:r>
        <w:t>Sitz: Venlo (NL)</w:t>
      </w:r>
    </w:p>
    <w:p>
      <w:pPr>
        <w:pStyle w:val="ListBullet"/>
      </w:pPr>
      <w:r>
        <w:t>100-%-Tochter der GBW</w:t>
      </w:r>
    </w:p>
    <w:p>
      <w:pPr>
        <w:pStyle w:val="ListBullet"/>
      </w:pPr>
      <w:r>
        <w:t>Lieferungen überwiegend an ProRail (Niederlande) und Infrabel (Belgien)</w:t>
      </w:r>
    </w:p>
    <w:p/>
    <w:p>
      <w:pPr>
        <w:pStyle w:val="Heading2"/>
      </w:pPr>
      <w:r>
        <w:rPr>
          <w:rFonts w:ascii="Times New Roman" w:hAnsi="Times New Roman"/>
        </w:rPr>
        <w:t>3. Zielgesellschaft</w:t>
      </w:r>
    </w:p>
    <w:p>
      <w:pPr>
        <w:jc w:val="left"/>
      </w:pPr>
      <w:r>
        <w:rPr>
          <w:b/>
        </w:rPr>
        <w:t>Tannenheim Betonelemente AG (TBA)</w:t>
      </w:r>
    </w:p>
    <w:p>
      <w:pPr>
        <w:pStyle w:val="ListBullet"/>
      </w:pPr>
      <w:r>
        <w:t>Sitz: Bielefeld (NRW)</w:t>
      </w:r>
    </w:p>
    <w:p>
      <w:pPr>
        <w:pStyle w:val="ListBullet"/>
      </w:pPr>
      <w:r>
        <w:t>Rechtsform: AG</w:t>
      </w:r>
    </w:p>
    <w:p>
      <w:pPr>
        <w:pStyle w:val="ListBullet"/>
      </w:pPr>
      <w:r>
        <w:t>Aktionärsstruktur: Tannenheim Holding SE (Düsseldorf, 74,9 %), Streubesitz (25,1 %)</w:t>
      </w:r>
    </w:p>
    <w:p>
      <w:pPr>
        <w:pStyle w:val="ListBullet"/>
      </w:pPr>
      <w:r>
        <w:t>Mitarbeiter: 94 (Stand 31.12.2025)</w:t>
      </w:r>
    </w:p>
    <w:p>
      <w:pPr>
        <w:pStyle w:val="ListBullet"/>
      </w:pPr>
      <w:r>
        <w:t>Umsatz 2025 (vorläufig): 32,8 Mio. EUR</w:t>
      </w:r>
    </w:p>
    <w:p>
      <w:pPr>
        <w:pStyle w:val="ListBullet"/>
      </w:pPr>
      <w:r>
        <w:t>Umsatz Deutschland: 29,1 Mio. EUR</w:t>
      </w:r>
    </w:p>
    <w:p>
      <w:pPr>
        <w:pStyle w:val="ListBullet"/>
      </w:pPr>
      <w:r>
        <w:t>Umsatz Niederlande: 2,4 Mio. EUR</w:t>
      </w:r>
    </w:p>
    <w:p>
      <w:pPr>
        <w:pStyle w:val="ListBullet"/>
      </w:pPr>
      <w:r>
        <w:t>Umsatz Belgien: 1,3 Mio. EUR</w:t>
      </w:r>
    </w:p>
    <w:p>
      <w:pPr>
        <w:pStyle w:val="ListBullet"/>
      </w:pPr>
      <w:r>
        <w:t>Marktanteil DE (Segment Bahnbetonschwellen, eigene Schätzung GBW): ca. 22 %</w:t>
      </w:r>
    </w:p>
    <w:p>
      <w:pPr>
        <w:pStyle w:val="ListBullet"/>
      </w:pPr>
      <w:r>
        <w:t>Fertigungsstandort: Bielefeld (Detmolder Straße, ein Werk)</w:t>
      </w:r>
    </w:p>
    <w:p/>
    <w:p>
      <w:pPr>
        <w:pStyle w:val="Heading2"/>
      </w:pPr>
      <w:r>
        <w:rPr>
          <w:rFonts w:ascii="Times New Roman" w:hAnsi="Times New Roman"/>
        </w:rPr>
        <w:t>4. Bewertung der Fusionskontrollpflicht — Doppelkontrolle</w:t>
      </w:r>
    </w:p>
    <w:p>
      <w:pPr>
        <w:pStyle w:val="Heading3"/>
      </w:pPr>
      <w:r>
        <w:rPr>
          <w:rFonts w:ascii="Times New Roman" w:hAnsi="Times New Roman"/>
        </w:rPr>
        <w:t>4.1 Nationale Schwellen § 35 GWB</w:t>
      </w:r>
    </w:p>
    <w:p>
      <w:pPr>
        <w:jc w:val="left"/>
      </w:pPr>
      <w:r>
        <w:t>Die Aufgreifkriterien nach § 35 Abs. 1 GWB sind zu prüfen:</w:t>
      </w:r>
    </w:p>
    <w:p>
      <w:pPr>
        <w:pStyle w:val="ListNumber"/>
      </w:pPr>
      <w:r>
        <w:t>Gesamtumsatz aller beteiligten Unternehmen weltweit &gt; 500 Mio. EUR im letzten Geschäftsjahr?</w:t>
      </w:r>
    </w:p>
    <w:p>
      <w:pPr>
        <w:pStyle w:val="ListBullet"/>
      </w:pPr>
      <w:r>
        <w:t>GBW-Gruppe: ca. 74,3 Mio. EUR (2025, vorläufig)</w:t>
      </w:r>
    </w:p>
    <w:p>
      <w:pPr>
        <w:pStyle w:val="ListBullet"/>
      </w:pPr>
      <w:r>
        <w:t>TBA-Gruppe: ca. 32,8 Mio. EUR (2025, vorläufig)</w:t>
      </w:r>
    </w:p>
    <w:p>
      <w:pPr>
        <w:pStyle w:val="ListBullet"/>
      </w:pPr>
      <w:r>
        <w:t xml:space="preserve">Gesamtumsatz: ca. 107,1 Mio. EUR — </w:t>
      </w:r>
      <w:r>
        <w:rPr>
          <w:b/>
        </w:rPr>
        <w:t>unter 500 Mio. EUR</w:t>
      </w:r>
    </w:p>
    <w:p>
      <w:pPr>
        <w:pStyle w:val="ListNumber"/>
      </w:pPr>
      <w:r>
        <w:t>Alternativtatbestand § 35 Abs. 1a GWB: mindestens zwei beteiligte Unternehmen je &gt; 25 Mio. EUR inländischer Umsatz?</w:t>
      </w:r>
    </w:p>
    <w:p>
      <w:pPr>
        <w:pStyle w:val="ListBullet"/>
      </w:pPr>
      <w:r>
        <w:t xml:space="preserve">GBW: 58,1 Mio. EUR DE-Umsatz — </w:t>
      </w:r>
      <w:r>
        <w:rPr>
          <w:b/>
        </w:rPr>
        <w:t>ja</w:t>
      </w:r>
    </w:p>
    <w:p>
      <w:pPr>
        <w:pStyle w:val="ListBullet"/>
      </w:pPr>
      <w:r>
        <w:t xml:space="preserve">TBA: 29,1 Mio. EUR DE-Umsatz — </w:t>
      </w:r>
      <w:r>
        <w:rPr>
          <w:b/>
        </w:rPr>
        <w:t>ja</w:t>
      </w:r>
    </w:p>
    <w:p>
      <w:pPr>
        <w:pStyle w:val="ListNumber"/>
      </w:pPr>
      <w:r>
        <w:t>Mindestens ein Unternehmen &gt; 25 Mio. EUR inländischer Umsatz, das andere &gt; 5 Mio. EUR?</w:t>
      </w:r>
    </w:p>
    <w:p>
      <w:pPr>
        <w:pStyle w:val="ListBullet"/>
      </w:pPr>
      <w:r>
        <w:t xml:space="preserve">Beide &gt; 25 Mio. EUR — </w:t>
      </w:r>
      <w:r>
        <w:rPr>
          <w:b/>
        </w:rPr>
        <w:t>ja</w:t>
      </w:r>
    </w:p>
    <w:p>
      <w:pPr>
        <w:jc w:val="left"/>
      </w:pPr>
      <w:r>
        <w:t xml:space="preserve">Ergebnis: </w:t>
      </w:r>
      <w:r>
        <w:rPr>
          <w:b/>
        </w:rPr>
        <w:t>§ 35 Abs. 1a GWB einschlägig</w:t>
      </w:r>
      <w:r>
        <w:t xml:space="preserve"> — Anmeldepflicht beim Bundeskartellamt.</w:t>
      </w:r>
    </w:p>
    <w:p>
      <w:pPr>
        <w:pStyle w:val="Heading3"/>
      </w:pPr>
      <w:r>
        <w:rPr>
          <w:rFonts w:ascii="Times New Roman" w:hAnsi="Times New Roman"/>
        </w:rPr>
        <w:t>4.2 EU-Schwellen Art. 1 FKVO 139/2004</w:t>
      </w:r>
    </w:p>
    <w:p>
      <w:pPr>
        <w:pStyle w:val="ListNumber"/>
      </w:pPr>
      <w:r>
        <w:t>Weltweiter Gesamtumsatz aller Beteiligten &gt; 5 Mrd. EUR?</w:t>
      </w:r>
    </w:p>
    <w:p>
      <w:pPr>
        <w:pStyle w:val="ListBullet"/>
      </w:pPr>
      <w:r>
        <w:t xml:space="preserve">ca. 107 Mio. EUR — </w:t>
      </w:r>
      <w:r>
        <w:rPr>
          <w:b/>
        </w:rPr>
        <w:t>nein</w:t>
      </w:r>
    </w:p>
    <w:p>
      <w:pPr>
        <w:pStyle w:val="ListNumber"/>
      </w:pPr>
      <w:r>
        <w:t>Alternativtatbestand Art. 1 Abs. 3 FKVO (EG-weiter Umsatz jedes einzelnen &gt; 250 Mio. EUR)?</w:t>
      </w:r>
    </w:p>
    <w:p>
      <w:pPr>
        <w:pStyle w:val="ListBullet"/>
      </w:pPr>
      <w:r>
        <w:rPr>
          <w:b/>
        </w:rPr>
        <w:t>nein</w:t>
      </w:r>
    </w:p>
    <w:p>
      <w:pPr>
        <w:pStyle w:val="ListNumber"/>
      </w:pPr>
      <w:r>
        <w:t>Gelockerte Mehrstaaten-Schwelle Art. 1 Abs. 3 lit. b FKVO:</w:t>
      </w:r>
    </w:p>
    <w:p>
      <w:pPr>
        <w:pStyle w:val="ListBullet"/>
      </w:pPr>
      <w:r>
        <w:t xml:space="preserve">Gesamtumsatz &gt; 2,5 Mrd. EUR? </w:t>
      </w:r>
      <w:r>
        <w:rPr>
          <w:b/>
        </w:rPr>
        <w:t>nein</w:t>
      </w:r>
    </w:p>
    <w:p>
      <w:pPr>
        <w:jc w:val="left"/>
      </w:pPr>
      <w:r>
        <w:t xml:space="preserve">Reguläre EU-Schwellen sind </w:t>
      </w:r>
      <w:r>
        <w:rPr>
          <w:b/>
        </w:rPr>
        <w:t>nicht</w:t>
      </w:r>
      <w:r>
        <w:t xml:space="preserve"> erreicht.</w:t>
      </w:r>
    </w:p>
    <w:p>
      <w:pPr>
        <w:jc w:val="left"/>
      </w:pPr>
      <w:r>
        <w:rPr>
          <w:b/>
        </w:rPr>
        <w:t>Ausnahme — Verweisung durch BKartA?</w:t>
      </w:r>
      <w:r>
        <w:t xml:space="preserve"> Auf Antrag der Beteiligten oder von Amts wegen kann das BKartA gemäß Art. 22 FKVO eine Verweisung an die Kommission anregen, wenn erhebliche Auswirkungen auf den Binnenmarkt zu erwarten sind. Angesichts der kombinierten grenzüberschreitenden Tätigkeit (NL, BE) und der Marktbedeutung erscheint eine solche Anregung nicht ausgeschlossen — das BKartA hat jedoch ein Ermessen. Die EU-Kommission hat im vorliegenden Fall ein COMP-Aktenzeichen M.92188 eröffnet, was auf eine koordinierte Vorprüfung hindeutet (Einzelheiten s. Aktenstück 09).</w:t>
      </w:r>
    </w:p>
    <w:p>
      <w:pPr>
        <w:jc w:val="left"/>
      </w:pPr>
      <w:r>
        <w:t>Praxishinweis: Die EU-Kommission hat nach der EuGH-Rechtsprechung in C-449/21 (Towercast) und der Leitlinie zu Art. 22 FKVO vom 31.03.2021 (EUR-Lex) die Möglichkeit, auch Zusammenschlüsse unterhalb der EU-Schwellen an sich zu ziehen. Das BKartA und die Kommission führen informelle Konsultationen.</w:t>
      </w:r>
    </w:p>
    <w:p/>
    <w:p>
      <w:pPr>
        <w:pStyle w:val="Heading2"/>
      </w:pPr>
      <w:r>
        <w:rPr>
          <w:rFonts w:ascii="Times New Roman" w:hAnsi="Times New Roman"/>
        </w:rPr>
        <w:t>5. Vollmacht und Mandatsumfang</w:t>
      </w:r>
    </w:p>
    <w:p>
      <w:pPr>
        <w:jc w:val="left"/>
      </w:pPr>
      <w:r>
        <w:t>Frau Niebuhr-Völkel übergibt eine Vollmachtsurkunde, unterzeichnet durch den Geschäftsführer Grosskopf-Hartmann, die sowohl das Düsseldorfer Hauptmandat als auch das Brüsseler Nebenmandat abdeckt. Die Kanzlei übernimmt:</w:t>
      </w:r>
    </w:p>
    <w:p>
      <w:pPr>
        <w:pStyle w:val="ListNumber"/>
      </w:pPr>
      <w:r>
        <w:t>Beratung zur Fusionskontrollstrategie (BKartA und koordiniertes EU-Verfahren)</w:t>
      </w:r>
    </w:p>
    <w:p>
      <w:pPr>
        <w:pStyle w:val="ListNumber"/>
      </w:pPr>
      <w:r>
        <w:t>Erstellung und Einreichung der Anmeldung beim BKartA (§ 39 GWB, Formblatt)</w:t>
      </w:r>
    </w:p>
    <w:p>
      <w:pPr>
        <w:pStyle w:val="ListNumber"/>
      </w:pPr>
      <w:r>
        <w:t>Koordination mit Brüssel-Office bezüglich möglichem Form CO / vereinfachtem Verfahren</w:t>
      </w:r>
    </w:p>
    <w:p>
      <w:pPr>
        <w:pStyle w:val="ListNumber"/>
      </w:pPr>
      <w:r>
        <w:t>Marktabgrenzungsgutachten (intern/extern)</w:t>
      </w:r>
    </w:p>
    <w:p>
      <w:pPr>
        <w:pStyle w:val="ListNumber"/>
      </w:pPr>
      <w:r>
        <w:t>Begleitung eines etwaigen Phase-II-Verfahrens</w:t>
      </w:r>
    </w:p>
    <w:p>
      <w:pPr>
        <w:pStyle w:val="ListNumber"/>
      </w:pPr>
      <w:r>
        <w:t>Parallel-Beratung zum laufenden Bußgeldvorverfahren § 32 GWB (Preisabstimmung 2018–2021) — eigenständiger Verfahrensstrang, jedoch Wechselwirkungen zu berücksichtigen</w:t>
      </w:r>
    </w:p>
    <w:p>
      <w:pPr>
        <w:pStyle w:val="ListNumber"/>
      </w:pPr>
      <w:r>
        <w:t>Kommunikation mit Drittklagern (Deutsche Bahn AG als Großabnehmer)</w:t>
      </w:r>
    </w:p>
    <w:p>
      <w:pPr>
        <w:pStyle w:val="ListNumber"/>
      </w:pPr>
      <w:r>
        <w:t>Pressekommunikation in Abstimmung mit Mandantin</w:t>
      </w:r>
    </w:p>
    <w:p>
      <w:pPr>
        <w:jc w:val="left"/>
      </w:pPr>
      <w:r>
        <w:t>Die Kanzlei weist darauf hin, dass das Bußgeldverfahren und das Zusammenschlussverfahren strikt getrennt zu führen sind, um keine verfahrensrechtliche Verknüpfung (etwa durch Selbstbelastung, § 55 StPO analog) zu riskieren.</w:t>
      </w:r>
    </w:p>
    <w:p/>
    <w:p>
      <w:pPr>
        <w:pStyle w:val="Heading2"/>
      </w:pPr>
      <w:r>
        <w:rPr>
          <w:rFonts w:ascii="Times New Roman" w:hAnsi="Times New Roman"/>
        </w:rPr>
        <w:t>6. Nächste Schritte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Aufgabe</w:t>
            </w:r>
          </w:p>
        </w:tc>
        <w:tc>
          <w:tcPr>
            <w:tcW w:type="dxa" w:w="3024"/>
          </w:tcPr>
          <w:p>
            <w:r>
              <w:rPr>
                <w:rFonts w:ascii="Times New Roman" w:hAnsi="Times New Roman"/>
                <w:b/>
                <w:sz w:val="20"/>
              </w:rPr>
              <w:t>Frist</w:t>
            </w:r>
          </w:p>
        </w:tc>
        <w:tc>
          <w:tcPr>
            <w:tcW w:type="dxa" w:w="3024"/>
          </w:tcPr>
          <w:p>
            <w:r>
              <w:rPr>
                <w:rFonts w:ascii="Times New Roman" w:hAnsi="Times New Roman"/>
                <w:b/>
                <w:sz w:val="20"/>
              </w:rPr>
              <w:t>Verantwortlich</w:t>
            </w:r>
          </w:p>
        </w:tc>
      </w:tr>
      <w:tr>
        <w:tc>
          <w:tcPr>
            <w:tcW w:type="dxa" w:w="3024"/>
          </w:tcPr>
          <w:p>
            <w:r>
              <w:rPr>
                <w:rFonts w:ascii="Times New Roman" w:hAnsi="Times New Roman"/>
                <w:sz w:val="20"/>
              </w:rPr>
              <w:t>Vollständige Umsatzdaten-Abfrage GBW + TBA</w:t>
            </w:r>
          </w:p>
        </w:tc>
        <w:tc>
          <w:tcPr>
            <w:tcW w:type="dxa" w:w="3024"/>
          </w:tcPr>
          <w:p>
            <w:r>
              <w:rPr>
                <w:rFonts w:ascii="Times New Roman" w:hAnsi="Times New Roman"/>
                <w:sz w:val="20"/>
              </w:rPr>
              <w:t>20.02.2026</w:t>
            </w:r>
          </w:p>
        </w:tc>
        <w:tc>
          <w:tcPr>
            <w:tcW w:type="dxa" w:w="3024"/>
          </w:tcPr>
          <w:p>
            <w:r>
              <w:rPr>
                <w:rFonts w:ascii="Times New Roman" w:hAnsi="Times New Roman"/>
                <w:sz w:val="20"/>
              </w:rPr>
              <w:t>Niebuhr-Völkel</w:t>
            </w:r>
          </w:p>
        </w:tc>
      </w:tr>
      <w:tr>
        <w:tc>
          <w:tcPr>
            <w:tcW w:type="dxa" w:w="3024"/>
          </w:tcPr>
          <w:p>
            <w:r>
              <w:rPr>
                <w:rFonts w:ascii="Times New Roman" w:hAnsi="Times New Roman"/>
                <w:sz w:val="20"/>
              </w:rPr>
              <w:t>Entwurf Anmeldung BKartA</w:t>
            </w:r>
          </w:p>
        </w:tc>
        <w:tc>
          <w:tcPr>
            <w:tcW w:type="dxa" w:w="3024"/>
          </w:tcPr>
          <w:p>
            <w:r>
              <w:rPr>
                <w:rFonts w:ascii="Times New Roman" w:hAnsi="Times New Roman"/>
                <w:sz w:val="20"/>
              </w:rPr>
              <w:t>01.03.2026</w:t>
            </w:r>
          </w:p>
        </w:tc>
        <w:tc>
          <w:tcPr>
            <w:tcW w:type="dxa" w:w="3024"/>
          </w:tcPr>
          <w:p>
            <w:r>
              <w:rPr>
                <w:rFonts w:ascii="Times New Roman" w:hAnsi="Times New Roman"/>
                <w:sz w:val="20"/>
              </w:rPr>
              <w:t>Brinkmeier</w:t>
            </w:r>
          </w:p>
        </w:tc>
      </w:tr>
      <w:tr>
        <w:tc>
          <w:tcPr>
            <w:tcW w:type="dxa" w:w="3024"/>
          </w:tcPr>
          <w:p>
            <w:r>
              <w:rPr>
                <w:rFonts w:ascii="Times New Roman" w:hAnsi="Times New Roman"/>
                <w:sz w:val="20"/>
              </w:rPr>
              <w:t>Koordinationsgespräch Brüssel-Office</w:t>
            </w:r>
          </w:p>
        </w:tc>
        <w:tc>
          <w:tcPr>
            <w:tcW w:type="dxa" w:w="3024"/>
          </w:tcPr>
          <w:p>
            <w:r>
              <w:rPr>
                <w:rFonts w:ascii="Times New Roman" w:hAnsi="Times New Roman"/>
                <w:sz w:val="20"/>
              </w:rPr>
              <w:t>22.02.2026</w:t>
            </w:r>
          </w:p>
        </w:tc>
        <w:tc>
          <w:tcPr>
            <w:tcW w:type="dxa" w:w="3024"/>
          </w:tcPr>
          <w:p>
            <w:r>
              <w:rPr>
                <w:rFonts w:ascii="Times New Roman" w:hAnsi="Times New Roman"/>
                <w:sz w:val="20"/>
              </w:rPr>
              <w:t>van Hove</w:t>
            </w:r>
          </w:p>
        </w:tc>
      </w:tr>
      <w:tr>
        <w:tc>
          <w:tcPr>
            <w:tcW w:type="dxa" w:w="3024"/>
          </w:tcPr>
          <w:p>
            <w:r>
              <w:rPr>
                <w:rFonts w:ascii="Times New Roman" w:hAnsi="Times New Roman"/>
                <w:sz w:val="20"/>
              </w:rPr>
              <w:t>Erste Marktabgrenzungsnotiz (sachlich/räumlich)</w:t>
            </w:r>
          </w:p>
        </w:tc>
        <w:tc>
          <w:tcPr>
            <w:tcW w:type="dxa" w:w="3024"/>
          </w:tcPr>
          <w:p>
            <w:r>
              <w:rPr>
                <w:rFonts w:ascii="Times New Roman" w:hAnsi="Times New Roman"/>
                <w:sz w:val="20"/>
              </w:rPr>
              <w:t>28.02.2026</w:t>
            </w:r>
          </w:p>
        </w:tc>
        <w:tc>
          <w:tcPr>
            <w:tcW w:type="dxa" w:w="3024"/>
          </w:tcPr>
          <w:p>
            <w:r>
              <w:rPr>
                <w:rFonts w:ascii="Times New Roman" w:hAnsi="Times New Roman"/>
                <w:sz w:val="20"/>
              </w:rPr>
              <w:t>Schwertbeck</w:t>
            </w:r>
          </w:p>
        </w:tc>
      </w:tr>
      <w:tr>
        <w:tc>
          <w:tcPr>
            <w:tcW w:type="dxa" w:w="3024"/>
          </w:tcPr>
          <w:p>
            <w:r>
              <w:rPr>
                <w:rFonts w:ascii="Times New Roman" w:hAnsi="Times New Roman"/>
                <w:sz w:val="20"/>
              </w:rPr>
              <w:t>Signing SPA</w:t>
            </w:r>
          </w:p>
        </w:tc>
        <w:tc>
          <w:tcPr>
            <w:tcW w:type="dxa" w:w="3024"/>
          </w:tcPr>
          <w:p>
            <w:r>
              <w:rPr>
                <w:rFonts w:ascii="Times New Roman" w:hAnsi="Times New Roman"/>
                <w:sz w:val="20"/>
              </w:rPr>
              <w:t>15.03.2026</w:t>
            </w:r>
          </w:p>
        </w:tc>
        <w:tc>
          <w:tcPr>
            <w:tcW w:type="dxa" w:w="3024"/>
          </w:tcPr>
          <w:p>
            <w:r>
              <w:rPr>
                <w:rFonts w:ascii="Times New Roman" w:hAnsi="Times New Roman"/>
                <w:sz w:val="20"/>
              </w:rPr>
              <w:t>GBW / TBA</w:t>
            </w:r>
          </w:p>
        </w:tc>
      </w:tr>
      <w:tr>
        <w:tc>
          <w:tcPr>
            <w:tcW w:type="dxa" w:w="3024"/>
          </w:tcPr>
          <w:p>
            <w:r>
              <w:rPr>
                <w:rFonts w:ascii="Times New Roman" w:hAnsi="Times New Roman"/>
                <w:sz w:val="20"/>
              </w:rPr>
              <w:t>Einreichung Anmeldung BKartA</w:t>
            </w:r>
          </w:p>
        </w:tc>
        <w:tc>
          <w:tcPr>
            <w:tcW w:type="dxa" w:w="3024"/>
          </w:tcPr>
          <w:p>
            <w:r>
              <w:rPr>
                <w:rFonts w:ascii="Times New Roman" w:hAnsi="Times New Roman"/>
                <w:sz w:val="20"/>
              </w:rPr>
              <w:t>ca. 16.03.2026</w:t>
            </w:r>
          </w:p>
        </w:tc>
        <w:tc>
          <w:tcPr>
            <w:tcW w:type="dxa" w:w="3024"/>
          </w:tcPr>
          <w:p>
            <w:r>
              <w:rPr>
                <w:rFonts w:ascii="Times New Roman" w:hAnsi="Times New Roman"/>
                <w:sz w:val="20"/>
              </w:rPr>
              <w:t>Brinkmeier</w:t>
            </w:r>
          </w:p>
        </w:tc>
      </w:tr>
    </w:tbl>
    <w:p/>
    <w:p>
      <w:pPr>
        <w:pStyle w:val="Heading2"/>
      </w:pPr>
      <w:r>
        <w:rPr>
          <w:rFonts w:ascii="Times New Roman" w:hAnsi="Times New Roman"/>
        </w:rPr>
        <w:t>7. Interessenkonfliktscheck</w:t>
      </w:r>
    </w:p>
    <w:p>
      <w:pPr>
        <w:jc w:val="left"/>
      </w:pPr>
      <w:r>
        <w:t>Nach Überprüfung der Kanzlei-Mandantenliste bestehen keine Mandatsverhältnisse mit der Tannenheim Betonelemente AG, der Tannenheim Holding SE oder der Deutschen Bahn AG, die einem Mandat entgegenstehen würden. Ein Conflict-Check-Formular wurde erstellt und abgelegt (intern: CK-2026-0318).</w:t>
      </w:r>
    </w:p>
    <w:p/>
    <w:p>
      <w:pPr>
        <w:pStyle w:val="Heading2"/>
      </w:pPr>
      <w:r>
        <w:rPr>
          <w:rFonts w:ascii="Times New Roman" w:hAnsi="Times New Roman"/>
        </w:rPr>
        <w:t>Quellen</w:t>
      </w:r>
    </w:p>
    <w:p>
      <w:pPr>
        <w:pStyle w:val="ListBullet"/>
      </w:pPr>
      <w:r>
        <w:t>§ 35 GWB, § 39 GWB, § 41 GWB: dejure.org/gesetze/GWB</w:t>
      </w:r>
    </w:p>
    <w:p>
      <w:pPr>
        <w:pStyle w:val="ListBullet"/>
      </w:pPr>
      <w:r>
        <w:t>Art. 1, Art. 4, Art. 7 FKVO 139/2004: EUR-Lex FKVO 139/2004</w:t>
      </w:r>
    </w:p>
    <w:p>
      <w:pPr>
        <w:pStyle w:val="ListBullet"/>
      </w:pPr>
      <w:r>
        <w:t>Kommissionsleitlinie Art. 22 FKVO vom 31.03.2021: EUR-Lex</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Zusammenschlusskontrolle Grosskopf Betonwerk Westfalen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Zusammenschlusskontrolle Grosskopf Betonwerk Westfalen GmbH</w:t>
    </w:r>
  </w:p>
  <w:p>
    <w:pPr>
      <w:jc w:val="left"/>
      <w:pBdr>
        <w:bottom w:val="single" w:sz="6" w:space="2" w:color="11555F"/>
      </w:pBdr>
    </w:pPr>
    <w:r>
      <w:rPr>
        <w:rFonts w:ascii="Times New Roman" w:hAnsi="Times New Roman"/>
        <w:color w:val="6B6B66"/>
        <w:sz w:val="16"/>
      </w:rPr>
      <w:t>Unternehmen · Aktenzeichen intern: SW/2026/KA-0318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