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Bußgeldverfahren — Preisabstimmung 2018–2021, § 32 GWB</w:t>
      </w:r>
    </w:p>
    <w:p>
      <w:pPr>
        <w:jc w:val="left"/>
      </w:pPr>
      <w:r>
        <w:t>Datum: 20. März 2026</w:t>
      </w:r>
    </w:p>
    <w:p>
      <w:pPr>
        <w:jc w:val="left"/>
      </w:pPr>
      <w:r>
        <w:t>Bearbeiter: Prof. Dr. Cornelius Friedrich Schwertbeck</w:t>
      </w:r>
    </w:p>
    <w:p>
      <w:pPr>
        <w:jc w:val="left"/>
      </w:pPr>
      <w:r>
        <w:t>Aktenzeichen intern (Bußgeld): SW/2026/KA-0319 | BKartA B6-56/22</w:t>
      </w:r>
    </w:p>
    <w:p/>
    <w:p>
      <w:pPr>
        <w:pStyle w:val="Heading2"/>
      </w:pPr>
      <w:r>
        <w:rPr>
          <w:rFonts w:ascii="Times New Roman" w:hAnsi="Times New Roman"/>
        </w:rPr>
        <w:t>1. Sachverhaltsübersicht</w:t>
      </w:r>
    </w:p>
    <w:p>
      <w:pPr>
        <w:jc w:val="left"/>
      </w:pPr>
      <w:r>
        <w:t>Das Bundeskartellamt führt seit dem 14. September 2022 unter dem Aktenzeichen B6-56/22 ein Bußgeldvorverfahren gemäß §§ 30, 32 i.V.m. § 81 GWB wegen des Verdachts horizontaler Preisabstimmungen im Segment Bahnbetonschwellen für den Zeitraum 2018–2021. Als Betroffene werden (nach Erkenntnisstand der Kanzlei) geführt:</w:t>
      </w:r>
    </w:p>
    <w:p>
      <w:pPr>
        <w:pStyle w:val="ListBullet"/>
      </w:pPr>
      <w:r>
        <w:t>Grosskopf Betonwerk Westfalen GmbH (GBW) — Mandantin</w:t>
      </w:r>
    </w:p>
    <w:p>
      <w:pPr>
        <w:pStyle w:val="ListBullet"/>
      </w:pPr>
      <w:r>
        <w:t>Tannenheim Betonelemente AG (TBA) — zugleich Zielgesellschaft im Zusammenschlussverfahren</w:t>
      </w:r>
    </w:p>
    <w:p>
      <w:pPr>
        <w:pStyle w:val="ListBullet"/>
      </w:pPr>
      <w:r>
        <w:t>Rehme Bahnbau GmbH &amp; Co. KG</w:t>
      </w:r>
    </w:p>
    <w:p>
      <w:pPr>
        <w:pStyle w:val="ListBullet"/>
      </w:pPr>
      <w:r>
        <w:t>ein viertes, noch nicht namentlich bestätigtes Unternehmen</w:t>
      </w:r>
    </w:p>
    <w:p>
      <w:pPr>
        <w:jc w:val="left"/>
      </w:pPr>
      <w:r>
        <w:rPr>
          <w:b/>
        </w:rPr>
        <w:t>Gegenstand des Vorwurfs:</w:t>
      </w:r>
      <w:r>
        <w:t xml:space="preserve"> Soll-Preisabsprachen und Aufteilungsabreden bei Ausschreibungen der DB Netz AG (heute DB InfraGO AG) für Rahmenverträge Betonschwellen. Konkret wird vermutet, dass die Unternehmen im Zeitraum 2018–2021 in regelmäßigen Abständen (informelle Treffen auf Verbandsmessen, insbesondere SIT Messe Köln) Zielpreise abgestimmt und Ausschreibungsergebnisse vorverteilt haben.</w:t>
      </w:r>
    </w:p>
    <w:p/>
    <w:p>
      <w:pPr>
        <w:pStyle w:val="Heading2"/>
      </w:pPr>
      <w:r>
        <w:rPr>
          <w:rFonts w:ascii="Times New Roman" w:hAnsi="Times New Roman"/>
        </w:rPr>
        <w:t>2. Rechtsgrundlagen</w:t>
      </w:r>
    </w:p>
    <w:p>
      <w:pPr>
        <w:pStyle w:val="Heading3"/>
      </w:pPr>
      <w:r>
        <w:rPr>
          <w:rFonts w:ascii="Times New Roman" w:hAnsi="Times New Roman"/>
        </w:rPr>
        <w:t>2.1 Materielles Recht</w:t>
      </w:r>
    </w:p>
    <w:p>
      <w:pPr>
        <w:jc w:val="left"/>
      </w:pPr>
      <w:r>
        <w:t>§ 1 GWB: Verbot wettbewerbsbeschränkender Vereinbarungen (entspricht Art. 101 AEUV). (dejure.org/gesetze/GWB/1.html)</w:t>
      </w:r>
    </w:p>
    <w:p>
      <w:pPr>
        <w:jc w:val="left"/>
      </w:pPr>
      <w:r>
        <w:t>Art. 101 Abs. 1 AEUV: Verbot von Vereinbarungen, die den Handel zwischen Mitgliedstaaten beeinträchtigen und den Wettbewerb beschränken. (dejure.org/gesetze/AEUV/101.html)</w:t>
      </w:r>
    </w:p>
    <w:p>
      <w:pPr>
        <w:jc w:val="left"/>
      </w:pPr>
      <w:r>
        <w:t>Da die Preisabsprachen jedenfalls für den deutschen Markt galten und die Lieferverhältnisse grenzüberschreitend sind (GBW liefert nach NL/BE), kann Art. 101 AEUV parallel anwendbar sein. Das BKartA prüft, ob eine Verweisung des Bußgeldverfahrens an die Kommission gemäß Art. 13 VO 1/2003 angezeigt wäre.</w:t>
      </w:r>
    </w:p>
    <w:p>
      <w:pPr>
        <w:pStyle w:val="Heading3"/>
      </w:pPr>
      <w:r>
        <w:rPr>
          <w:rFonts w:ascii="Times New Roman" w:hAnsi="Times New Roman"/>
        </w:rPr>
        <w:t>2.2 Bußgeldrecht</w:t>
      </w:r>
    </w:p>
    <w:p>
      <w:pPr>
        <w:jc w:val="left"/>
      </w:pPr>
      <w:r>
        <w:t>§ 81 GWB: Bußgeldtatbestand für Unternehmen, die gegen § 1 GWB oder Art. 101 AEUV verstoßen. (dejure.org/gesetze/GWB/81.html)</w:t>
      </w:r>
    </w:p>
    <w:p>
      <w:pPr>
        <w:jc w:val="left"/>
      </w:pPr>
      <w:r>
        <w:t>§ 81 Abs. 4 GWB: Bußgeldrahmen bis 10 % des Gesamtumsatzes im letzten Geschäftsjahr.</w:t>
      </w:r>
    </w:p>
    <w:p>
      <w:pPr>
        <w:jc w:val="left"/>
      </w:pPr>
      <w:r>
        <w:t xml:space="preserve">Bei einem GBW-Konzernumsatz von ca. 74,3 Mio. EUR ergibt sich eine maximale Bußgeldobergrenze von ca. </w:t>
      </w:r>
      <w:r>
        <w:rPr>
          <w:b/>
        </w:rPr>
        <w:t>7,43 Mio. EUR</w:t>
      </w:r>
      <w:r>
        <w:t>.</w:t>
      </w:r>
    </w:p>
    <w:p/>
    <w:p>
      <w:pPr>
        <w:pStyle w:val="Heading2"/>
      </w:pPr>
      <w:r>
        <w:rPr>
          <w:rFonts w:ascii="Times New Roman" w:hAnsi="Times New Roman"/>
        </w:rPr>
        <w:t>3. Bußgeld-Schätzung</w:t>
      </w:r>
    </w:p>
    <w:p>
      <w:pPr>
        <w:jc w:val="left"/>
      </w:pPr>
      <w:r>
        <w:t>Die Bußgeldhöhe ist von mehreren Faktoren abhängig (§ 81 Abs. 4a GWB; BKartA-Leitfaden zur Bußgeldzumessung 2021):</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Faktor</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Dauer des Kartells</w:t>
            </w:r>
          </w:p>
        </w:tc>
        <w:tc>
          <w:tcPr>
            <w:tcW w:type="dxa" w:w="4536"/>
          </w:tcPr>
          <w:p>
            <w:r>
              <w:rPr>
                <w:rFonts w:ascii="Times New Roman" w:hAnsi="Times New Roman"/>
                <w:sz w:val="20"/>
              </w:rPr>
              <w:t>3 Jahre (2018–2021) — mittel</w:t>
            </w:r>
          </w:p>
        </w:tc>
      </w:tr>
      <w:tr>
        <w:tc>
          <w:tcPr>
            <w:tcW w:type="dxa" w:w="4536"/>
          </w:tcPr>
          <w:p>
            <w:r>
              <w:rPr>
                <w:rFonts w:ascii="Times New Roman" w:hAnsi="Times New Roman"/>
                <w:sz w:val="20"/>
              </w:rPr>
              <w:t>Schwere des Verstoßes</w:t>
            </w:r>
          </w:p>
        </w:tc>
        <w:tc>
          <w:tcPr>
            <w:tcW w:type="dxa" w:w="4536"/>
          </w:tcPr>
          <w:p>
            <w:r>
              <w:rPr>
                <w:rFonts w:ascii="Times New Roman" w:hAnsi="Times New Roman"/>
                <w:sz w:val="20"/>
              </w:rPr>
              <w:t>Horizontale Preisabsprache — schwer</w:t>
            </w:r>
          </w:p>
        </w:tc>
      </w:tr>
      <w:tr>
        <w:tc>
          <w:tcPr>
            <w:tcW w:type="dxa" w:w="4536"/>
          </w:tcPr>
          <w:p>
            <w:r>
              <w:rPr>
                <w:rFonts w:ascii="Times New Roman" w:hAnsi="Times New Roman"/>
                <w:sz w:val="20"/>
              </w:rPr>
              <w:t>Tatbeitrag GBW</w:t>
            </w:r>
          </w:p>
        </w:tc>
        <w:tc>
          <w:tcPr>
            <w:tcW w:type="dxa" w:w="4536"/>
          </w:tcPr>
          <w:p>
            <w:r>
              <w:rPr>
                <w:rFonts w:ascii="Times New Roman" w:hAnsi="Times New Roman"/>
                <w:sz w:val="20"/>
              </w:rPr>
              <w:t>Organisator oder Teilnehmer — noch nicht festgestellt</w:t>
            </w:r>
          </w:p>
        </w:tc>
      </w:tr>
      <w:tr>
        <w:tc>
          <w:tcPr>
            <w:tcW w:type="dxa" w:w="4536"/>
          </w:tcPr>
          <w:p>
            <w:r>
              <w:rPr>
                <w:rFonts w:ascii="Times New Roman" w:hAnsi="Times New Roman"/>
                <w:sz w:val="20"/>
              </w:rPr>
              <w:t>Kooperation mit BKartA</w:t>
            </w:r>
          </w:p>
        </w:tc>
        <w:tc>
          <w:tcPr>
            <w:tcW w:type="dxa" w:w="4536"/>
          </w:tcPr>
          <w:p>
            <w:r>
              <w:rPr>
                <w:rFonts w:ascii="Times New Roman" w:hAnsi="Times New Roman"/>
                <w:sz w:val="20"/>
              </w:rPr>
              <w:t>Noch keine formale Kronzeugenerklärung</w:t>
            </w:r>
          </w:p>
        </w:tc>
      </w:tr>
      <w:tr>
        <w:tc>
          <w:tcPr>
            <w:tcW w:type="dxa" w:w="4536"/>
          </w:tcPr>
          <w:p>
            <w:r>
              <w:rPr>
                <w:rFonts w:ascii="Times New Roman" w:hAnsi="Times New Roman"/>
                <w:sz w:val="20"/>
              </w:rPr>
              <w:t>Schadensabschätzung (DB-Überhöhung)</w:t>
            </w:r>
          </w:p>
        </w:tc>
        <w:tc>
          <w:tcPr>
            <w:tcW w:type="dxa" w:w="4536"/>
          </w:tcPr>
          <w:p>
            <w:r>
              <w:rPr>
                <w:rFonts w:ascii="Times New Roman" w:hAnsi="Times New Roman"/>
                <w:sz w:val="20"/>
              </w:rPr>
              <w:t>ca. 8–12 % lt. DB-eigener Schätzung</w:t>
            </w:r>
          </w:p>
        </w:tc>
      </w:tr>
      <w:tr>
        <w:tc>
          <w:tcPr>
            <w:tcW w:type="dxa" w:w="4536"/>
          </w:tcPr>
          <w:p>
            <w:r>
              <w:rPr>
                <w:rFonts w:ascii="Times New Roman" w:hAnsi="Times New Roman"/>
                <w:sz w:val="20"/>
              </w:rPr>
              <w:t>Kronzeugenrabatt (§ 81e GWB)</w:t>
            </w:r>
          </w:p>
        </w:tc>
        <w:tc>
          <w:tcPr>
            <w:tcW w:type="dxa" w:w="4536"/>
          </w:tcPr>
          <w:p>
            <w:r>
              <w:rPr>
                <w:rFonts w:ascii="Times New Roman" w:hAnsi="Times New Roman"/>
                <w:sz w:val="20"/>
              </w:rPr>
              <w:t>0–100 % (s. Aktenstück 15)</w:t>
            </w:r>
          </w:p>
        </w:tc>
      </w:tr>
      <w:tr>
        <w:tc>
          <w:tcPr>
            <w:tcW w:type="dxa" w:w="4536"/>
          </w:tcPr>
          <w:p>
            <w:r>
              <w:rPr>
                <w:rFonts w:ascii="Times New Roman" w:hAnsi="Times New Roman"/>
                <w:sz w:val="20"/>
              </w:rPr>
              <w:t>Abschreckungsmultiplikator</w:t>
            </w:r>
          </w:p>
        </w:tc>
        <w:tc>
          <w:tcPr>
            <w:tcW w:type="dxa" w:w="4536"/>
          </w:tcPr>
          <w:p>
            <w:r>
              <w:rPr>
                <w:rFonts w:ascii="Times New Roman" w:hAnsi="Times New Roman"/>
                <w:sz w:val="20"/>
              </w:rPr>
              <w:t>nach § 81 Abs. 4a Satz 2 GWB</w:t>
            </w:r>
          </w:p>
        </w:tc>
      </w:tr>
    </w:tbl>
    <w:p>
      <w:pPr>
        <w:jc w:val="left"/>
      </w:pPr>
      <w:r>
        <w:t>Vorläufige interne Schätzung: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Szenario</w:t>
            </w:r>
          </w:p>
        </w:tc>
        <w:tc>
          <w:tcPr>
            <w:tcW w:type="dxa" w:w="4536"/>
          </w:tcPr>
          <w:p>
            <w:r>
              <w:rPr>
                <w:rFonts w:ascii="Times New Roman" w:hAnsi="Times New Roman"/>
                <w:b/>
                <w:sz w:val="20"/>
              </w:rPr>
              <w:t>Bußgeld GBW</w:t>
            </w:r>
          </w:p>
        </w:tc>
      </w:tr>
      <w:tr>
        <w:tc>
          <w:tcPr>
            <w:tcW w:type="dxa" w:w="4536"/>
          </w:tcPr>
          <w:p>
            <w:r>
              <w:rPr>
                <w:rFonts w:ascii="Times New Roman" w:hAnsi="Times New Roman"/>
                <w:sz w:val="20"/>
              </w:rPr>
              <w:t>Ohne Kronzeugenrabatt, keine Kooperation</w:t>
            </w:r>
          </w:p>
        </w:tc>
        <w:tc>
          <w:tcPr>
            <w:tcW w:type="dxa" w:w="4536"/>
          </w:tcPr>
          <w:p>
            <w:r>
              <w:rPr>
                <w:rFonts w:ascii="Times New Roman" w:hAnsi="Times New Roman"/>
                <w:sz w:val="20"/>
              </w:rPr>
              <w:t>4,5–7,4 Mio. EUR</w:t>
            </w:r>
          </w:p>
        </w:tc>
      </w:tr>
      <w:tr>
        <w:tc>
          <w:tcPr>
            <w:tcW w:type="dxa" w:w="4536"/>
          </w:tcPr>
          <w:p>
            <w:r>
              <w:rPr>
                <w:rFonts w:ascii="Times New Roman" w:hAnsi="Times New Roman"/>
                <w:sz w:val="20"/>
              </w:rPr>
              <w:t>Mit Kronzeugenrabatt 30 % (nicht-erster Antragsteller)</w:t>
            </w:r>
          </w:p>
        </w:tc>
        <w:tc>
          <w:tcPr>
            <w:tcW w:type="dxa" w:w="4536"/>
          </w:tcPr>
          <w:p>
            <w:r>
              <w:rPr>
                <w:rFonts w:ascii="Times New Roman" w:hAnsi="Times New Roman"/>
                <w:sz w:val="20"/>
              </w:rPr>
              <w:t>3,2–5,2 Mio. EUR</w:t>
            </w:r>
          </w:p>
        </w:tc>
      </w:tr>
      <w:tr>
        <w:tc>
          <w:tcPr>
            <w:tcW w:type="dxa" w:w="4536"/>
          </w:tcPr>
          <w:p>
            <w:r>
              <w:rPr>
                <w:rFonts w:ascii="Times New Roman" w:hAnsi="Times New Roman"/>
                <w:sz w:val="20"/>
              </w:rPr>
              <w:t>Mit Kronzeugenrabatt 50 % (zweiter Antragsteller, volle Kooperation)</w:t>
            </w:r>
          </w:p>
        </w:tc>
        <w:tc>
          <w:tcPr>
            <w:tcW w:type="dxa" w:w="4536"/>
          </w:tcPr>
          <w:p>
            <w:r>
              <w:rPr>
                <w:rFonts w:ascii="Times New Roman" w:hAnsi="Times New Roman"/>
                <w:sz w:val="20"/>
              </w:rPr>
              <w:t>2,3–3,7 Mio. EUR</w:t>
            </w:r>
          </w:p>
        </w:tc>
      </w:tr>
      <w:tr>
        <w:tc>
          <w:tcPr>
            <w:tcW w:type="dxa" w:w="4536"/>
          </w:tcPr>
          <w:p>
            <w:r>
              <w:rPr>
                <w:rFonts w:ascii="Times New Roman" w:hAnsi="Times New Roman"/>
                <w:sz w:val="20"/>
              </w:rPr>
              <w:t>Vollerlass (erster Antragsteller, vollständige Offenbarung)</w:t>
            </w:r>
          </w:p>
        </w:tc>
        <w:tc>
          <w:tcPr>
            <w:tcW w:type="dxa" w:w="4536"/>
          </w:tcPr>
          <w:p>
            <w:r>
              <w:rPr>
                <w:rFonts w:ascii="Times New Roman" w:hAnsi="Times New Roman"/>
                <w:sz w:val="20"/>
              </w:rPr>
              <w:t>0 EUR</w:t>
            </w:r>
          </w:p>
        </w:tc>
      </w:tr>
    </w:tbl>
    <w:p>
      <w:pPr>
        <w:jc w:val="left"/>
      </w:pPr>
      <w:r>
        <w:t xml:space="preserve">Die detaillierte Bußgeldsimulation ist in der XLSX-Datei </w:t>
      </w:r>
      <w:r>
        <w:t>bussgeldsimulation_par81_gwb_2018_2021.xlsx</w:t>
      </w:r>
      <w:r>
        <w:t xml:space="preserve"> hinterlegt.</w:t>
      </w:r>
    </w:p>
    <w:p/>
    <w:p>
      <w:pPr>
        <w:pStyle w:val="Heading2"/>
      </w:pPr>
      <w:r>
        <w:rPr>
          <w:rFonts w:ascii="Times New Roman" w:hAnsi="Times New Roman"/>
        </w:rPr>
        <w:t>4. Wechselwirkungen mit dem Zusammenschlussverfahren</w:t>
      </w:r>
    </w:p>
    <w:p>
      <w:pPr>
        <w:jc w:val="left"/>
      </w:pPr>
      <w:r>
        <w:t>Das gleichzeitige Laufen von Zusammenschluss- und Bußgeldverfahren vor demselben BKartA-Referat B6 schafft erhebliche Komplexität:</w:t>
      </w:r>
    </w:p>
    <w:p>
      <w:pPr>
        <w:pStyle w:val="Heading3"/>
      </w:pPr>
      <w:r>
        <w:rPr>
          <w:rFonts w:ascii="Times New Roman" w:hAnsi="Times New Roman"/>
        </w:rPr>
        <w:t>4.1 Informationsrisiken</w:t>
      </w:r>
    </w:p>
    <w:p>
      <w:pPr>
        <w:jc w:val="left"/>
      </w:pPr>
      <w:r>
        <w:t>Aussagen der Mandantin im Zusammenschlussverfahren (z. B. zu Marktstrukturen, Preisen, Wettbewerberbeziehungen) können im Bußgeldverfahren gegen sie verwendet werden. Die Kanzlei trennt die Verfahrensteams intern strikt.</w:t>
      </w:r>
    </w:p>
    <w:p>
      <w:pPr>
        <w:pStyle w:val="Heading3"/>
      </w:pPr>
      <w:r>
        <w:rPr>
          <w:rFonts w:ascii="Times New Roman" w:hAnsi="Times New Roman"/>
        </w:rPr>
        <w:t>4.2 Verfahrensrechtliche Selbstbelastungsfreiheit</w:t>
      </w:r>
    </w:p>
    <w:p>
      <w:pPr>
        <w:jc w:val="left"/>
      </w:pPr>
      <w:r>
        <w:t>Das Verbot der Selbstbelastung (nemo tenetur se ipsum accusare) gilt auch im kartellrechtlichen Bußgeldverfahren (BGH KRB 29/12 — Schienenkartell, Rn. 22 ff.). (bundesgerichtshof.de) GBW muss im Zusammenschlussverfahren Auskunft über Marktstrukturen geben (§ 59 GWB), aber keine Aussagen zur eigenen Tatbeteiligung machen.</w:t>
      </w:r>
    </w:p>
    <w:p>
      <w:pPr>
        <w:pStyle w:val="Heading3"/>
      </w:pPr>
      <w:r>
        <w:rPr>
          <w:rFonts w:ascii="Times New Roman" w:hAnsi="Times New Roman"/>
        </w:rPr>
        <w:t>4.3 Image-Risiko im Zusammenschlussverfahren</w:t>
      </w:r>
    </w:p>
    <w:p>
      <w:pPr>
        <w:jc w:val="left"/>
      </w:pPr>
      <w:r>
        <w:t>Ein schwebendes Kartellvorwurf-Verfahren kann die Glaubwürdigkeit der Mandantin im Zusammenschlussverfahren belasten. Das BKartA und die Kommission werden die vorgeworfenen Praktiken als Indiz für die Koordinationsfähigkeit der Marktakteure werten — was die Wahrscheinlichkeit koordinierter Effekte post-merger erhöht.</w:t>
      </w:r>
    </w:p>
    <w:p/>
    <w:p>
      <w:pPr>
        <w:pStyle w:val="Heading2"/>
      </w:pPr>
      <w:r>
        <w:rPr>
          <w:rFonts w:ascii="Times New Roman" w:hAnsi="Times New Roman"/>
        </w:rPr>
        <w:t>5. Verfahrensstand</w:t>
      </w:r>
    </w:p>
    <w:p>
      <w:pPr>
        <w:jc w:val="left"/>
      </w:pPr>
      <w:r>
        <w:t>Stand 20. März 2026: Das Vorverfahren B6-56/22 befindet sich im Stadium der Sachverhaltsermittlung. Das BKartA hat:</w:t>
      </w:r>
    </w:p>
    <w:p>
      <w:pPr>
        <w:pStyle w:val="ListBullet"/>
      </w:pPr>
      <w:r>
        <w:t>Durchsuchungen bei Rehme Bahnbau am 14.09.2022 durchgeführt</w:t>
      </w:r>
    </w:p>
    <w:p>
      <w:pPr>
        <w:pStyle w:val="ListBullet"/>
      </w:pPr>
      <w:r>
        <w:t>Auskunftsverlangen gemäß § 59 GWB an alle vier vermuteten Beteiligten versandt</w:t>
      </w:r>
    </w:p>
    <w:p>
      <w:pPr>
        <w:pStyle w:val="ListBullet"/>
      </w:pPr>
      <w:r>
        <w:t>Zeugenvernehmungen bei ehemaligen Mitarbeitern (zwei ehemalige TBA-Vertriebsmitarbeiter) durchgeführt</w:t>
      </w:r>
    </w:p>
    <w:p>
      <w:pPr>
        <w:jc w:val="left"/>
      </w:pPr>
      <w:r>
        <w:t>GBW hat noch keine Kronzeugenerklärung eingereicht (Entscheidung ausstehend — s. Aktenstück 15).</w:t>
      </w:r>
    </w:p>
    <w:p/>
    <w:p>
      <w:pPr>
        <w:pStyle w:val="Heading2"/>
      </w:pPr>
      <w:r>
        <w:rPr>
          <w:rFonts w:ascii="Times New Roman" w:hAnsi="Times New Roman"/>
        </w:rPr>
        <w:t>Quellen</w:t>
      </w:r>
    </w:p>
    <w:p>
      <w:pPr>
        <w:pStyle w:val="ListBullet"/>
      </w:pPr>
      <w:r>
        <w:t>§ 1 GWB: dejure.org/gesetze/GWB/1.html</w:t>
      </w:r>
    </w:p>
    <w:p>
      <w:pPr>
        <w:pStyle w:val="ListBullet"/>
      </w:pPr>
      <w:r>
        <w:t>§ 81 GWB: dejure.org/gesetze/GWB/81.html</w:t>
      </w:r>
    </w:p>
    <w:p>
      <w:pPr>
        <w:pStyle w:val="ListBullet"/>
      </w:pPr>
      <w:r>
        <w:t>§ 81e GWB (Kronzeuge): dejure.org/gesetze/GWB/81e.html</w:t>
      </w:r>
    </w:p>
    <w:p>
      <w:pPr>
        <w:pStyle w:val="ListBullet"/>
      </w:pPr>
      <w:r>
        <w:t>Art. 101 AEUV: dejure.org/gesetze/AEUV/101.html</w:t>
      </w:r>
    </w:p>
    <w:p>
      <w:pPr>
        <w:pStyle w:val="ListBullet"/>
      </w:pPr>
      <w:r>
        <w:t>BGH KRB 29/12 "Schienenkartell" (nemo tenetur): bundesgerichtshof.de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Grosskopf Betonwerk Westfalen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Grosskopf Betonwerk Westfalen GmbH</w:t>
    </w:r>
  </w:p>
  <w:p>
    <w:pPr>
      <w:jc w:val="left"/>
      <w:pBdr>
        <w:bottom w:val="single" w:sz="6" w:space="2" w:color="2C5230"/>
      </w:pBdr>
    </w:pPr>
    <w:r>
      <w:rPr>
        <w:rFonts w:ascii="Times New Roman" w:hAnsi="Times New Roman"/>
        <w:color w:val="6B6B66"/>
        <w:sz w:val="16"/>
      </w:rPr>
      <w:t>Unternehmen · Aktenzeichen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