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B474D"/>
          <w:sz w:val="40"/>
          <w:szCs w:val="40"/>
        </w:rPr>
        <w:t xml:space="preserve">ANMELDUNG EINES ZUSAMMENSCHLUSSES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0808D"/>
          <w:sz w:val="26"/>
          <w:szCs w:val="26"/>
        </w:rPr>
        <w:t xml:space="preserve">gemäß § 39 Gesetz gegen Wettbewerbsbeschränkungen (GWB)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beim Bundeskartellamt, Kaiser-Friedrich-Straße 16, 53113 Bonn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1B474D"/>
          <w:sz w:val="28"/>
          <w:szCs w:val="28"/>
        </w:rPr>
        <w:t xml:space="preserve">Az. B6-188-26 | 16. März 2026</w:t>
      </w:r>
    </w:p>
    <w:p>
      <w:pPr>
        <w:pBdr>
          <w:bottom w:val="single" w:color="D4D1CA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Antragsteller: </w:t>
      </w:r>
      <w:r>
        <w:rPr>
          <w:rFonts w:ascii="Calibri" w:cs="Calibri" w:eastAsia="Calibri" w:hAnsi="Calibri"/>
          <w:sz w:val="22"/>
          <w:szCs w:val="22"/>
        </w:rPr>
        <w:t xml:space="preserve">Grosskopf Betonwerk Westfalen GmbH, Schifffahrter Damm 299, 48145 Münster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Bevollmächtigte Kanzlei: </w:t>
      </w:r>
      <w:r>
        <w:rPr>
          <w:rFonts w:ascii="Calibri" w:cs="Calibri" w:eastAsia="Calibri" w:hAnsi="Calibri"/>
          <w:sz w:val="22"/>
          <w:szCs w:val="22"/>
        </w:rPr>
        <w:t xml:space="preserve">Prof. Dr. Cornelius Friedrich Schwertbeck &amp; Partner RA, Graf-Adolf-Platz 5, 40213 Düsseldorf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Verfahren: </w:t>
      </w:r>
      <w:r>
        <w:rPr>
          <w:rFonts w:ascii="Calibri" w:cs="Calibri" w:eastAsia="Calibri" w:hAnsi="Calibri"/>
          <w:sz w:val="22"/>
          <w:szCs w:val="22"/>
        </w:rPr>
        <w:t xml:space="preserve">Fusionskontrolle gemäß §§ 35 ff. GWB</w:t>
      </w:r>
    </w:p>
    <w:p>
      <w:pPr>
        <w:pBdr>
          <w:bottom w:val="single" w:color="D4D1CA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474D"/>
          <w:sz w:val="30"/>
          <w:szCs w:val="30"/>
        </w:rPr>
        <w:t xml:space="preserve">A. Angaben zu den beteiligten Unternehmen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808D"/>
          <w:sz w:val="26"/>
          <w:szCs w:val="26"/>
        </w:rPr>
        <w:t xml:space="preserve">I. Erwerber — Grosskopf Betonwerk Westfalen GmbH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Firma: </w:t>
      </w:r>
      <w:r>
        <w:rPr>
          <w:rFonts w:ascii="Calibri" w:cs="Calibri" w:eastAsia="Calibri" w:hAnsi="Calibri"/>
          <w:sz w:val="22"/>
          <w:szCs w:val="22"/>
        </w:rPr>
        <w:t xml:space="preserve">Grosskopf Betonwerk Westfalen GmbH (GBW)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Sitz: </w:t>
      </w:r>
      <w:r>
        <w:rPr>
          <w:rFonts w:ascii="Calibri" w:cs="Calibri" w:eastAsia="Calibri" w:hAnsi="Calibri"/>
          <w:sz w:val="22"/>
          <w:szCs w:val="22"/>
        </w:rPr>
        <w:t xml:space="preserve">Schifffahrter Damm 299, 48145 Münster, Nordrhein-Westfalen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Handelsregister: </w:t>
      </w:r>
      <w:r>
        <w:rPr>
          <w:rFonts w:ascii="Calibri" w:cs="Calibri" w:eastAsia="Calibri" w:hAnsi="Calibri"/>
          <w:sz w:val="22"/>
          <w:szCs w:val="22"/>
        </w:rPr>
        <w:t xml:space="preserve">HRB 12340, Amtsgericht Münster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Gegenstand: </w:t>
      </w:r>
      <w:r>
        <w:rPr>
          <w:rFonts w:ascii="Calibri" w:cs="Calibri" w:eastAsia="Calibri" w:hAnsi="Calibri"/>
          <w:sz w:val="22"/>
          <w:szCs w:val="22"/>
        </w:rPr>
        <w:t xml:space="preserve">Herstellung vorgespannter Betonschwellen (Spannbetonschwellen) für Vollbahn, Straßenbahn und Industriebahn; Weichenschwellen; Brückenschwellen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Mitarbeitende: </w:t>
      </w:r>
      <w:r>
        <w:rPr>
          <w:rFonts w:ascii="Calibri" w:cs="Calibri" w:eastAsia="Calibri" w:hAnsi="Calibri"/>
          <w:sz w:val="22"/>
          <w:szCs w:val="22"/>
        </w:rPr>
        <w:t xml:space="preserve">188 Vollzeitäquivalente (Stand 31.12.2025)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Umsatz Deutschland 2025 (vorläufig): </w:t>
      </w:r>
      <w:r>
        <w:rPr>
          <w:rFonts w:ascii="Calibri" w:cs="Calibri" w:eastAsia="Calibri" w:hAnsi="Calibri"/>
          <w:sz w:val="22"/>
          <w:szCs w:val="22"/>
        </w:rPr>
        <w:t xml:space="preserve">58.100.000 EUR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Umsatz gesamt 2025 (vorläufig): </w:t>
      </w:r>
      <w:r>
        <w:rPr>
          <w:rFonts w:ascii="Calibri" w:cs="Calibri" w:eastAsia="Calibri" w:hAnsi="Calibri"/>
          <w:sz w:val="22"/>
          <w:szCs w:val="22"/>
        </w:rPr>
        <w:t xml:space="preserve">74.300.000 EUR (inkl. Tochter GBW Nederland B.V., Venlo)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Marktanteil DE Bahnbetonschwellen: </w:t>
      </w:r>
      <w:r>
        <w:rPr>
          <w:rFonts w:ascii="Calibri" w:cs="Calibri" w:eastAsia="Calibri" w:hAnsi="Calibri"/>
          <w:sz w:val="22"/>
          <w:szCs w:val="22"/>
        </w:rPr>
        <w:t xml:space="preserve">ca. 38 %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Fertigungsstandorte: </w:t>
      </w:r>
      <w:r>
        <w:rPr>
          <w:rFonts w:ascii="Calibri" w:cs="Calibri" w:eastAsia="Calibri" w:hAnsi="Calibri"/>
          <w:sz w:val="22"/>
          <w:szCs w:val="22"/>
        </w:rPr>
        <w:t xml:space="preserve">Münster (Hauptwerk), Hamm (Zweigwerk)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Hauptabnehmer: </w:t>
      </w:r>
      <w:r>
        <w:rPr>
          <w:rFonts w:ascii="Calibri" w:cs="Calibri" w:eastAsia="Calibri" w:hAnsi="Calibri"/>
          <w:sz w:val="22"/>
          <w:szCs w:val="22"/>
        </w:rPr>
        <w:t xml:space="preserve">Deutsche Bahn AG / DB InfraGO AG (Rahmenvertrag 2024–2028)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808D"/>
          <w:sz w:val="26"/>
          <w:szCs w:val="26"/>
        </w:rPr>
        <w:t xml:space="preserve">II. Zielgesellschaft — Tannenheim Betonelemente AG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Firma: </w:t>
      </w:r>
      <w:r>
        <w:rPr>
          <w:rFonts w:ascii="Calibri" w:cs="Calibri" w:eastAsia="Calibri" w:hAnsi="Calibri"/>
          <w:sz w:val="22"/>
          <w:szCs w:val="22"/>
        </w:rPr>
        <w:t xml:space="preserve">Tannenheim Betonelemente AG (TBA)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Sitz: </w:t>
      </w:r>
      <w:r>
        <w:rPr>
          <w:rFonts w:ascii="Calibri" w:cs="Calibri" w:eastAsia="Calibri" w:hAnsi="Calibri"/>
          <w:sz w:val="22"/>
          <w:szCs w:val="22"/>
        </w:rPr>
        <w:t xml:space="preserve">Detmolder Straße 840, 33699 Bielefeld, Nordrhein-Westfalen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Handelsregister: </w:t>
      </w:r>
      <w:r>
        <w:rPr>
          <w:rFonts w:ascii="Calibri" w:cs="Calibri" w:eastAsia="Calibri" w:hAnsi="Calibri"/>
          <w:sz w:val="22"/>
          <w:szCs w:val="22"/>
        </w:rPr>
        <w:t xml:space="preserve">HRB 9876, Amtsgericht Bielefeld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Gegenstand: </w:t>
      </w:r>
      <w:r>
        <w:rPr>
          <w:rFonts w:ascii="Calibri" w:cs="Calibri" w:eastAsia="Calibri" w:hAnsi="Calibri"/>
          <w:sz w:val="22"/>
          <w:szCs w:val="22"/>
        </w:rPr>
        <w:t xml:space="preserve">Herstellung vorgespannter Betonschwellen für Vollbahn und Straßenbahn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Mitarbeitende: </w:t>
      </w:r>
      <w:r>
        <w:rPr>
          <w:rFonts w:ascii="Calibri" w:cs="Calibri" w:eastAsia="Calibri" w:hAnsi="Calibri"/>
          <w:sz w:val="22"/>
          <w:szCs w:val="22"/>
        </w:rPr>
        <w:t xml:space="preserve">94 Vollzeitäquivalente (Stand 31.12.2025)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Umsatz Deutschland 2025 (vorläufig): </w:t>
      </w:r>
      <w:r>
        <w:rPr>
          <w:rFonts w:ascii="Calibri" w:cs="Calibri" w:eastAsia="Calibri" w:hAnsi="Calibri"/>
          <w:sz w:val="22"/>
          <w:szCs w:val="22"/>
        </w:rPr>
        <w:t xml:space="preserve">29.100.000 EUR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Umsatz gesamt 2025 (vorläufig): </w:t>
      </w:r>
      <w:r>
        <w:rPr>
          <w:rFonts w:ascii="Calibri" w:cs="Calibri" w:eastAsia="Calibri" w:hAnsi="Calibri"/>
          <w:sz w:val="22"/>
          <w:szCs w:val="22"/>
        </w:rPr>
        <w:t xml:space="preserve">32.800.000 EUR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Marktanteil DE Bahnbetonschwellen: </w:t>
      </w:r>
      <w:r>
        <w:rPr>
          <w:rFonts w:ascii="Calibri" w:cs="Calibri" w:eastAsia="Calibri" w:hAnsi="Calibri"/>
          <w:sz w:val="22"/>
          <w:szCs w:val="22"/>
        </w:rPr>
        <w:t xml:space="preserve">ca. 19 %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Fertigungsstandort: </w:t>
      </w:r>
      <w:r>
        <w:rPr>
          <w:rFonts w:ascii="Calibri" w:cs="Calibri" w:eastAsia="Calibri" w:hAnsi="Calibri"/>
          <w:sz w:val="22"/>
          <w:szCs w:val="22"/>
        </w:rPr>
        <w:t xml:space="preserve">Bielefeld, Detmolder Straße 840 (einziges Werk)</w:t>
      </w:r>
    </w:p>
    <w:p>
      <w:pPr>
        <w:pBdr>
          <w:bottom w:val="single" w:color="D4D1CA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474D"/>
          <w:sz w:val="30"/>
          <w:szCs w:val="30"/>
        </w:rPr>
        <w:t xml:space="preserve">B. Art des Zusammenschlusses (§ 37 GWB)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GBW beabsichtigt, sämtliche Aktien der Tannenheim Betonelemente AG von der Tannenheim Holding SE sowie dem Streubesitz zu erwerben. Nach Vollzug hält GBW 100 % der Stimmrechte. Der Zusammenschluss erfüllt den Tatbestand des § 37 Abs. 1 Nr. 3 GWB.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Signing des Share Purchase Agreement (SPA) erfolgte am 15. März 2026. Das Closing ist aufschiebend bedingt auf den Eintritt der fusionskontrollrechtlichen Freigaben. Das Vollzugsverbot gemäß § 41 Abs. 1 GWB wird von beiden Parteien beachtet.</w:t>
      </w:r>
    </w:p>
    <w:p>
      <w:pPr>
        <w:pBdr>
          <w:bottom w:val="single" w:color="D4D1CA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474D"/>
          <w:sz w:val="30"/>
          <w:szCs w:val="30"/>
        </w:rPr>
        <w:t xml:space="preserve">C. Relevante Märkte und Marktanteile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808D"/>
          <w:sz w:val="26"/>
          <w:szCs w:val="26"/>
        </w:rPr>
        <w:t xml:space="preserve">I. Sachlich relevanter Markt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Produktmarkt (vorläufig): Spannbetonschwellen für Vollbahninfrastruktur (sog. 'Bahnbetonschwellen'). Grundlage: Bedarfsmarktkonzept (BGH KZR 39/85, Lüsterbehang), SSNIP-Test gemäß Bekanntmachung der Kommission über die Definition des relevanten Marktes (ABl. C/2024/1645). Holzbahn-, Stahl- und Verbundschwellen werden wegen mangelnder Austauschbarkeit (technisch, regulatorisch) nicht einbezogen.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808D"/>
          <w:sz w:val="26"/>
          <w:szCs w:val="26"/>
        </w:rPr>
        <w:t xml:space="preserve">II. Räumlich relevanter Markt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Primäre Abgrenzung: Nationaler Markt Deutschland. Transportkostenintensität (Schwellengewicht 250–320 kg), DB-spezifische Zulassungsanforderungen und historische Beschaffungsstrukturen sprechen für nationale Marktabgrenzung. Alternativ wird EWR-weite Abgrenzung vorgetragen.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808D"/>
          <w:sz w:val="26"/>
          <w:szCs w:val="26"/>
        </w:rPr>
        <w:t xml:space="preserve">III. Marktanteile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474D" w:color="1B474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Unternehmen</w:t>
            </w:r>
          </w:p>
        </w:tc>
        <w:tc>
          <w:tcPr>
            <w:shd w:fill="1B474D" w:color="1B474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Umsatz DE 2025 (Mio. EUR)</w:t>
            </w:r>
          </w:p>
        </w:tc>
        <w:tc>
          <w:tcPr>
            <w:shd w:fill="1B474D" w:color="1B474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Marktanteil DE (pre)</w:t>
            </w:r>
          </w:p>
        </w:tc>
        <w:tc>
          <w:tcPr>
            <w:shd w:fill="1B474D" w:color="1B474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Marktanteil DE (post)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GBW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58,1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38 %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57 % kombiniert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TBA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29,1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19 %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Rehme Bahnbau GmbH &amp; Co. KG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27,5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18 %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18 %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Schienenwerk Lausitz AG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18,4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12 %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12 %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Sonstige / Import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19,9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13 %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13 %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Marktvolumen gesamt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ca. 153,0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100 %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100 %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Post-Merger-HHI: ca. 3.886 (pre: ca. 2.442). Delta-HHI: ca. 1.444. Beide Schwellen der EU-Horizontalleitlinien (HHI &gt; 2.000, Delta &gt; 150) sind überschritten.</w:t>
      </w:r>
    </w:p>
    <w:p>
      <w:pPr>
        <w:pBdr>
          <w:bottom w:val="single" w:color="D4D1CA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474D"/>
          <w:sz w:val="30"/>
          <w:szCs w:val="30"/>
        </w:rPr>
        <w:t xml:space="preserve">D. Vollzugsverbot und Erklärung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Anmeldenden erklären, dass der Zusammenschluss vor Erteilung der Freigabe nicht vollzogen wird (§ 41 Abs. 1 GWB). Alle Angaben sind vollständig und wahrheitsgemäß. Änderungen werden unverzüglich mitgeteilt.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Düsseldorf, 16. März 2026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Prof. Dr. Cornelius Friedrich Schwertbeck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Rechtsanwalt, Fachanwalt für Kartellrecht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Schwertbeck &amp; Partner Rechtsanwälte, Graf-Adolf-Platz 5, 40213 Düsseldorf</w:t>
      </w:r>
    </w:p>
    <w:p>
      <w:pPr>
        <w:pBdr>
          <w:bottom w:val="single" w:color="D4D1CA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Quellen: § 35, § 37, § 39, § 40, § 41 GWB: dejure.org/gesetze/GWB | Art. 1, 7 FKVO 139/2004: eur-lex.europa.eu/legal-content/DE/TXT/?uri=CELEX%3A32004R0139 | BGH KZR 39/85 Lüsterbehang: bundesgerichtshof.de | Kommissionsbekanntmachung Marktdefinition ABl. C/2024/1645: eur-lex.europa.eu/legal-content/DE/TXT/?uri=OJ:C_202401645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Grosskopf Betonwerk Westfalen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Grosskopf Betonwerk Westfalen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Schifffahrter Damm 299, 48145 Münster · Az. B6-188-26 | 16. 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2026-05-30T19:08:07.806Z</dcterms:created>
  <dcterms:modified xsi:type="dcterms:W3CDTF">2026-05-30T19:08:07.806Z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