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Risikoklassifikationsmatrix KI-Systeme — Thalheim Industries SE</w:t>
      </w:r>
    </w:p>
    <w:p>
      <w:pPr>
        <w:jc w:val="left"/>
      </w:pPr>
      <w:r>
        <w:rPr>
          <w:b/>
        </w:rPr>
        <w:t>Aktenzeichen:</w:t>
      </w:r>
      <w:r>
        <w:t xml:space="preserve"> TI-KI-2026-008</w:t>
      </w:r>
    </w:p>
    <w:p>
      <w:pPr>
        <w:jc w:val="left"/>
      </w:pPr>
      <w:r>
        <w:rPr>
          <w:b/>
        </w:rPr>
        <w:t>Dokumentversion:</w:t>
      </w:r>
      <w:r>
        <w:t xml:space="preserve"> 1.4</w:t>
      </w:r>
    </w:p>
    <w:p>
      <w:pPr>
        <w:jc w:val="left"/>
      </w:pPr>
      <w:r>
        <w:rPr>
          <w:b/>
        </w:rPr>
        <w:t>Erstellungsdatum:</w:t>
      </w:r>
      <w:r>
        <w:t xml:space="preserve"> 18. Dezember 2025</w:t>
      </w:r>
    </w:p>
    <w:p>
      <w:pPr>
        <w:jc w:val="left"/>
      </w:pPr>
      <w:r>
        <w:rPr>
          <w:b/>
        </w:rPr>
        <w:t>Verfasser:</w:t>
      </w:r>
      <w:r>
        <w:t xml:space="preserve"> Dr. Falk Roosendaal; Marcus Petersen (CDO); Annegret Kühnhausen (CCO)</w:t>
      </w:r>
    </w:p>
    <w:p>
      <w:pPr>
        <w:jc w:val="left"/>
      </w:pPr>
      <w:r>
        <w:rPr>
          <w:b/>
        </w:rPr>
        <w:t>Freigegeben durch:</w:t>
      </w:r>
      <w:r>
        <w:t xml:space="preserve"> KI-Komitee, 10. Januar 2026</w:t>
      </w:r>
    </w:p>
    <w:p/>
    <w:p>
      <w:pPr>
        <w:pStyle w:val="Heading2"/>
      </w:pPr>
      <w:r>
        <w:rPr>
          <w:rFonts w:ascii="Times New Roman" w:hAnsi="Times New Roman"/>
        </w:rPr>
        <w:t>1. Zweck</w:t>
      </w:r>
    </w:p>
    <w:p>
      <w:pPr>
        <w:jc w:val="left"/>
      </w:pPr>
      <w:r>
        <w:t>Dieses Dokument enthält die vollständige Risikoklassifikation aller im KI-Inventar der Thalheim Industries SE erfassten KI-Systeme gemäß der Verordnung (EU) 2024/1689 über künstliche Intelligenz (KI-VO). Die Klassifikation folgt dem vierstufigen Risikoschema der KI-VO (Art. 5, Art. 6 i.V.m. Anhang III, Art. 50, Minimales Risiko).</w:t>
      </w:r>
    </w:p>
    <w:p>
      <w:pPr>
        <w:jc w:val="left"/>
      </w:pPr>
      <w:r>
        <w:t>Rechtsgrundlagen:</w:t>
      </w:r>
    </w:p>
    <w:p>
      <w:pPr>
        <w:pStyle w:val="ListBullet"/>
      </w:pPr>
      <w:r>
        <w:t>Art. 6 i.V.m. Anhang III KI-VO (Hochrisiko-Klassifikation): https://dejure.org/gesetze/KIVO/6.html</w:t>
      </w:r>
    </w:p>
    <w:p>
      <w:pPr>
        <w:pStyle w:val="ListBullet"/>
      </w:pPr>
      <w:r>
        <w:t>Art. 5 KI-VO (Verbotene Praktiken): https://dejure.org/gesetze/KIVO/5.html</w:t>
      </w:r>
    </w:p>
    <w:p>
      <w:pPr>
        <w:pStyle w:val="ListBullet"/>
      </w:pPr>
      <w:r>
        <w:t>Art. 50 KI-VO (Transparenzpflichten): https://dejure.org/gesetze/KIVO/50.html</w:t>
      </w:r>
    </w:p>
    <w:p/>
    <w:p>
      <w:pPr>
        <w:pStyle w:val="Heading2"/>
      </w:pPr>
      <w:r>
        <w:rPr>
          <w:rFonts w:ascii="Times New Roman" w:hAnsi="Times New Roman"/>
        </w:rPr>
        <w:t>2. Klassifikationsschema</w:t>
      </w:r>
    </w:p>
    <w:p>
      <w:pPr>
        <w:jc w:val="left"/>
      </w:pPr>
      <w:r>
        <w:t>Die Einordnung erfolgt nach einem dreistufigen Prüfschema:</w:t>
      </w:r>
    </w:p>
    <w:p>
      <w:pPr>
        <w:jc w:val="left"/>
      </w:pPr>
      <w:r>
        <w:rPr>
          <w:b/>
        </w:rPr>
        <w:t>Stufe 1 — Verboten (Art. 5 KI-VO):</w:t>
      </w:r>
      <w:r>
        <w:t xml:space="preserve"> Fällt das System unter eine der verbotenen Praktiken? → Sofortiger Stopp, keine weitere Prüfung.</w:t>
      </w:r>
    </w:p>
    <w:p>
      <w:pPr>
        <w:jc w:val="left"/>
      </w:pPr>
      <w:r>
        <w:rPr>
          <w:b/>
        </w:rPr>
        <w:t>Stufe 2 — Hochrisiko (Art. 6 i.V.m. Anh. III KI-VO):</w:t>
      </w:r>
    </w:p>
    <w:p>
      <w:pPr>
        <w:pStyle w:val="ListBullet"/>
      </w:pPr>
      <w:r>
        <w:t>Ist das System ein Sicherheitsbauteil eines Produkts nach Anhang I? → Hochrisiko.</w:t>
      </w:r>
    </w:p>
    <w:p>
      <w:pPr>
        <w:pStyle w:val="ListBullet"/>
      </w:pPr>
      <w:r>
        <w:t>Fällt es unter eine der acht Kategorien des Anhangs III? → Hochrisiko, sofern es bei natürlichen Personen individuelle Entscheidungen beeinflusst oder eigenständig trifft.</w:t>
      </w:r>
    </w:p>
    <w:p>
      <w:pPr>
        <w:jc w:val="left"/>
      </w:pPr>
      <w:r>
        <w:rPr>
          <w:b/>
        </w:rPr>
        <w:t>Stufe 3 — Transparenzpflichten (Art. 50 KI-VO):</w:t>
      </w:r>
    </w:p>
    <w:p>
      <w:pPr>
        <w:pStyle w:val="ListBullet"/>
      </w:pPr>
      <w:r>
        <w:t>Chatbots / Konversationssysteme → Offenlegungspflicht.</w:t>
      </w:r>
    </w:p>
    <w:p>
      <w:pPr>
        <w:pStyle w:val="ListBullet"/>
      </w:pPr>
      <w:r>
        <w:t>Deep-Fake-Generatoren / synthetische Inhalte → Kennzeichnungspflicht.</w:t>
      </w:r>
    </w:p>
    <w:p>
      <w:pPr>
        <w:jc w:val="left"/>
      </w:pPr>
      <w:r>
        <w:t>Alle nicht in Stufe 1–3 fallenden Systeme gelten als Systeme mit minimalem Risiko.</w:t>
      </w:r>
    </w:p>
    <w:p/>
    <w:p>
      <w:pPr>
        <w:pStyle w:val="Heading2"/>
      </w:pPr>
      <w:r>
        <w:rPr>
          <w:rFonts w:ascii="Times New Roman" w:hAnsi="Times New Roman"/>
        </w:rPr>
        <w:t>3. Klassifikationsergebnisse: Fünf Kernsysteme</w:t>
      </w:r>
    </w:p>
    <w:p>
      <w:pPr>
        <w:pStyle w:val="Heading3"/>
      </w:pPr>
      <w:r>
        <w:rPr>
          <w:rFonts w:ascii="Times New Roman" w:hAnsi="Times New Roman"/>
        </w:rPr>
        <w:t>3.1 RecruitAI (Recruiting-Screening)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Synaptec Analytics GmbH, München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 / Personalauswahl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Automatisiertes Screening von Bewerbungsunterlagen, Ranking-Score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verbotene Praktik (kein Social Scoring, keine unterschwellige Beeinflussung)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6 / Anh.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Anh. III Nr. 4a: „KI-Systeme zur Personalauswahl, zur Priorisierung von Kandidaten" → </w:t>
            </w:r>
            <w:r>
              <w:rPr>
                <w:rFonts w:ascii="Times New Roman" w:hAnsi="Times New Roman"/>
                <w:b/>
                <w:sz w:val="20"/>
              </w:rPr>
              <w:t>Hochrisiko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 Abs. 2, Anhang III Nr. 4 lit. a KI-VO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 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 nach Art. 43 Abs. 2 KI-VO; Auditor: Hagedorn &amp; 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 erforderlich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Art. 35 DSGVO; Aufforderung LfDI BW AZ 1-1085.51/2026/045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Sigrid Wolfsbacher (CIO)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Status (März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Audit läuft; Feststellung fehlender Bias-Tests</w:t>
            </w:r>
          </w:p>
        </w:tc>
      </w:tr>
    </w:tbl>
    <w:p>
      <w:pPr>
        <w:jc w:val="left"/>
      </w:pPr>
      <w:r>
        <w:rPr>
          <w:b/>
        </w:rPr>
        <w:t>Begründung:</w:t>
      </w:r>
      <w:r>
        <w:t xml:space="preserve"> RecruitAI trifft oder beeinflusst maßgeblich Entscheidungen über die Aufnahme oder Ablehnung von Bewerbern. Anhang III Nr. 4 lit. a KI-VO erfasst explizit KI-gestützte Systeme zur „Zulassung zu Beschäftigung" und zur „Priorisierung von Bewerbern". Die Hochrisiko-Einstufung ist eindeutig. Eine DPIA ist nach Art. 35 Abs. 3 lit. a DSGVO (systematische Bewertung persönlicher Aspekte) erforderlich. Art. 22 DSGVO (automatisierte Einzelentscheidungen) ist im Lichte von Art. 26 KI-VO zu lesen.</w:t>
      </w:r>
    </w:p>
    <w:p/>
    <w:p>
      <w:pPr>
        <w:pStyle w:val="Heading3"/>
      </w:pPr>
      <w:r>
        <w:rPr>
          <w:rFonts w:ascii="Times New Roman" w:hAnsi="Times New Roman"/>
        </w:rPr>
        <w:t>3.2 CreditVision Score (Kreditscoring-Modul)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CreditVision AG, Frankfurt am Main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Kundenfinanzierung / Kreditentscheidung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Scoring-Modell zur Bonitätsbewertung von Privat- und Gewerbekunden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verbotene Praktik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6 / Anh.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Anh. III Nr. 5b: „KI-Systeme zur Bewertung der Kreditwürdigkeit natürlicher Personen" → </w:t>
            </w:r>
            <w:r>
              <w:rPr>
                <w:rFonts w:ascii="Times New Roman" w:hAnsi="Times New Roman"/>
                <w:b/>
                <w:sz w:val="20"/>
              </w:rPr>
              <w:t>Hochrisiko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Hochrisiko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6 Abs. 2, Anhang III Nr. 5 lit. b KI-VO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 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 nach Art. 43 Abs. 2 KI-VO; Auditor: Hagedorn &amp; Partner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DPIA erforderlich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läuft (hohe Wahrscheinlichkeit)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Marcus Petersen (CDO)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Status (März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Offene BaFin-Anfrage GZ BJ 24-K 7102-2026/0012; Unterlagen CreditVision AG ausstehend</w:t>
            </w:r>
          </w:p>
        </w:tc>
      </w:tr>
    </w:tbl>
    <w:p>
      <w:pPr>
        <w:jc w:val="left"/>
      </w:pPr>
      <w:r>
        <w:rPr>
          <w:b/>
        </w:rPr>
        <w:t>Begründung:</w:t>
      </w:r>
      <w:r>
        <w:t xml:space="preserve"> Das Kreditscoring-Modul wird zur Bewertung der Kreditwürdigkeit natürlicher Personen eingesetzt und beeinflusst damit Entscheidungen mit erheblichen Rechts- oder vergleichbar erheblichen Folgen für die Betroffenen. Art. 22 DSGVO (https://dejure.org/gesetze/DSGVO/22.html) und Art. 6 i.V.m. Anh. III Nr. 5b KI-VO gelten kumulativ. Die BaFin prüft im Rahmen ihrer Aufsicht (GZ BJ 24-K 7102-2026/0012) die Einhaltung von Art. 22 DSGVO und die Konformitätsbewertung nach Art. 43 KI-VO.</w:t>
      </w:r>
    </w:p>
    <w:p/>
    <w:p>
      <w:pPr>
        <w:pStyle w:val="Heading3"/>
      </w:pPr>
      <w:r>
        <w:rPr>
          <w:rFonts w:ascii="Times New Roman" w:hAnsi="Times New Roman"/>
        </w:rPr>
        <w:t>3.3 PredictMaint (Predictive Maintenance)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 entwickelt (Thalheim Digital Lab)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Produktionsanlagen / Wartungsplanung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Anomalieerkennung, Verschleißprognose auf Basis von Sensordaten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verbotene Praktik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6 / Anh.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Anhang-III-Tatbestand; kein Sicherheitsbauteil i.S.v. Anhang 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Begrenztes Risiko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nach Art. 50 KI-VO (kein Chatbot, keine synthetischen Inhalte)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Anmerkung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Hohe wirtschaftliche Relevanz, aber kein personenbezogener Entscheidungseinfluss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Sigrid Wolfsbacher (CIO)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 August 2027 (freiwillige interne Überprüfung)</w:t>
            </w:r>
          </w:p>
        </w:tc>
      </w:tr>
    </w:tbl>
    <w:p>
      <w:pPr>
        <w:jc w:val="left"/>
      </w:pPr>
      <w:r>
        <w:rPr>
          <w:b/>
        </w:rPr>
        <w:t>Begründung:</w:t>
      </w:r>
      <w:r>
        <w:t xml:space="preserve"> PredictMaint verarbeitet ausschließlich Maschinendaten und trifft keine Entscheidungen über natürliche Personen. Ein Anhang-III-Tatbestand liegt nicht vor. Das System fällt damit nicht unter die Hochrisiko-Kategorie. Empfehlung: Freiwillige Dokumentation im Rahmen des KI-Inventars und Überprüfung bis August 2027.</w:t>
      </w:r>
    </w:p>
    <w:p/>
    <w:p>
      <w:pPr>
        <w:pStyle w:val="Heading3"/>
      </w:pPr>
      <w:r>
        <w:rPr>
          <w:rFonts w:ascii="Times New Roman" w:hAnsi="Times New Roman"/>
        </w:rPr>
        <w:t>3.4 CodeAssist (GenAI-Coding-Assistent)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OpenAI Ireland Ltd., Dublin (GPT-4-basiert)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Software-Entwicklung intern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KI-gestützte Code-Generierung und Code-Review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verbotene Praktik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6 / Anh.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Anhang-III-Tatbestand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Begrenztes Risiko</w:t>
            </w:r>
            <w:r>
              <w:rPr>
                <w:rFonts w:ascii="Times New Roman" w:hAnsi="Times New Roman"/>
                <w:sz w:val="20"/>
              </w:rPr>
              <w:t xml:space="preserve"> (Allzweck-KI-Modell nach Art. 51 ff. KI-VO)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50 Abs. 2 KI-VO: Kennzeichnung KI-generierter Inhalte (Code-Kommentare)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Vendor-Pflichten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OpenAI als Anbieter unterliegt Art. 53 ff. KI-VO (GPAI-Modell-Pflichten)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Marcus Petersen (CDO)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Status (März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Konformitätsdokumentation OpenAI unvollständig; Nachforderung läuft</w:t>
            </w:r>
          </w:p>
        </w:tc>
      </w:tr>
    </w:tbl>
    <w:p>
      <w:pPr>
        <w:jc w:val="left"/>
      </w:pPr>
      <w:r>
        <w:rPr>
          <w:b/>
        </w:rPr>
        <w:t>Begründung:</w:t>
      </w:r>
      <w:r>
        <w:t xml:space="preserve"> CodeAssist basiert auf einem Allzweck-KI-Modell (GPAI) im Sinne von Art. 3 Nr. 63 KI-VO. Als Betreiber (Deployer) ist Thalheim nach Art. 26 KI-VO verantwortlich für die zweckgerechte Nutzung. OpenAI unterliegt als Anbieter (Provider) des Basismodells den Pflichten nach Art. 53 KI-VO. Thalheim muss sicherstellen, dass die Nutzung den Nutzungsbedingungen von OpenAI entspricht und keine personenbezogenen Daten ohne Rechtsgrundlage verarbeitet werden.</w:t>
      </w:r>
    </w:p>
    <w:p/>
    <w:p>
      <w:pPr>
        <w:pStyle w:val="Heading3"/>
      </w:pPr>
      <w:r>
        <w:rPr>
          <w:rFonts w:ascii="Times New Roman" w:hAnsi="Times New Roman"/>
        </w:rPr>
        <w:t>3.5 ServiceBot (Kundenservice-Chatbot)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Vendor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 entwickelt (Thalheim Digital Lab)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Kundenservice / First-Level-Support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Automatisierte Beantwortung von Kundenanfragen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verbotene Praktik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Prüfung Art. 6 / Anh.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Anhang-III-Tatbestand (kein Entscheidungseinfluss auf Betroffene)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Einstufung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Transparenzpflichten (Art. 50 KI-VO)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Transparenzpflichten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50 Abs. 1 KI-VO: Kunden müssen informiert werden, dass sie mit einem KI-System interagieren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Umsetzungsstand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Hinweis implementiert seit 01.02.2025; Dokumentation in TI-KI-2026-007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Verantwortlicher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Marcus Petersen (CDO)</w:t>
            </w:r>
          </w:p>
        </w:tc>
      </w:tr>
    </w:tbl>
    <w:p>
      <w:pPr>
        <w:jc w:val="left"/>
      </w:pPr>
      <w:r>
        <w:rPr>
          <w:b/>
        </w:rPr>
        <w:t>Begründung:</w:t>
      </w:r>
      <w:r>
        <w:t xml:space="preserve"> ServiceBot ist ein konversationelles KI-System im Sinne von Art. 50 Abs. 1 KI-VO. Die Pflicht zur Offenlegung gegenüber natürlichen Personen gilt unabhängig von der Risikoklasse. Die Umsetzung erfolgte fristgerecht (Art. 113 Abs. 3 KI-VO: Anwendung von Art. 50 ab 02.02.2025). Eine vollständige Überprüfung der Umsetzung findet im Rahmen des Q2-2026-Audits statt.</w:t>
      </w:r>
    </w:p>
    <w:p/>
    <w:p>
      <w:pPr>
        <w:pStyle w:val="Heading2"/>
      </w:pPr>
      <w:r>
        <w:rPr>
          <w:rFonts w:ascii="Times New Roman" w:hAnsi="Times New Roman"/>
        </w:rPr>
        <w:t>4. Weitere klassifizierte Systeme (Auszug)</w:t>
      </w:r>
    </w:p>
    <w:p>
      <w:pPr>
        <w:jc w:val="left"/>
      </w:pPr>
      <w:r>
        <w:t>Zusätzlich zu den fünf Kernsystemen wurden im Rahmen der Inventarisierung (Phase 1) folgende Systeme klassifiziert: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Einsatzbereich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Risikoklasse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MarketingAI (Midjourney-basiert)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 xml:space="preserve">Begrenztes Risiko / </w:t>
            </w:r>
            <w:r>
              <w:rPr>
                <w:rFonts w:ascii="Times New Roman" w:hAnsi="Times New Roman"/>
                <w:b/>
                <w:sz w:val="20"/>
              </w:rPr>
              <w:t>ungenehmigt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Schatten-KI; identifiziert März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AutoTranslate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Übersetzung intern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Minimales 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DPIA, keine Freigabepflicht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FinanceReport-AI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Controlling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Minimales 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Entscheidungsautomation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EnergyForecast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Energiemanagement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Minimales 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Personenbezogenheit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QualityVision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Qualitätskontrolle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Begrenztes 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Optisches System, keine Personenerkennung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Anwendungsfristen (Art. 113 KI-VO)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Regelung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5 (Verbote), Art. 50 (Transparenz) anwendbar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Governance-Pflichten (Kapitel I, II), Art. 4 (AI Literacy) anwendbar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Hochrisiko-Pflichten (Art. 6, 9–17, 43) anwendbar für neue Systeme; bestehende Hochrisiko-Systeme müssen nachkonformiert sein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02.08.2027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Hochrisiko-Systeme nach Anhang I (bestehende Produkte)</w:t>
            </w:r>
          </w:p>
        </w:tc>
      </w:tr>
    </w:tbl>
    <w:p>
      <w:pPr>
        <w:jc w:val="left"/>
      </w:pPr>
      <w:r>
        <w:t>Quelle: Art. 113 KI-VO (https://dejure.org/gesetze/KIVO/113.html).</w:t>
      </w:r>
    </w:p>
    <w:p/>
    <w:p>
      <w:pPr>
        <w:jc w:val="left"/>
      </w:pPr>
      <w:r>
        <w:rPr>
          <w:i/>
        </w:rPr>
        <w:t>Aktenzeichen: TI-KI-2026-008. Erstellt von Dr. Falk Roosendaal, Marcus Petersen, Annegret Kühnhausen. Stand: März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TI-KI-2026-008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