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KI-Incident-Response-Playbook — Thalheim Industries SE</w:t>
      </w:r>
    </w:p>
    <w:p>
      <w:pPr>
        <w:jc w:val="left"/>
      </w:pPr>
      <w:r>
        <w:rPr>
          <w:b/>
        </w:rPr>
        <w:t>Aktenzeichen:</w:t>
      </w:r>
      <w:r>
        <w:t xml:space="preserve"> TI-KI-2026-013</w:t>
      </w:r>
    </w:p>
    <w:p>
      <w:pPr>
        <w:jc w:val="left"/>
      </w:pPr>
      <w:r>
        <w:rPr>
          <w:b/>
        </w:rPr>
        <w:t>Dokumentversion:</w:t>
      </w:r>
      <w:r>
        <w:t xml:space="preserve"> 1.0</w:t>
      </w:r>
    </w:p>
    <w:p>
      <w:pPr>
        <w:jc w:val="left"/>
      </w:pPr>
      <w:r>
        <w:rPr>
          <w:b/>
        </w:rPr>
        <w:t>Freigegeben durch:</w:t>
      </w:r>
      <w:r>
        <w:t xml:space="preserve"> CCO Annegret Kühnhausen; CIO Dr. Sigrid Wolfsbacher</w:t>
      </w:r>
    </w:p>
    <w:p>
      <w:pPr>
        <w:jc w:val="left"/>
      </w:pPr>
      <w:r>
        <w:rPr>
          <w:b/>
        </w:rPr>
        <w:t>Freigabedatum:</w:t>
      </w:r>
      <w:r>
        <w:t xml:space="preserve"> 01. März 2026</w:t>
      </w:r>
    </w:p>
    <w:p>
      <w:pPr>
        <w:jc w:val="left"/>
      </w:pPr>
      <w:r>
        <w:rPr>
          <w:b/>
        </w:rPr>
        <w:t>Geltungsbereich:</w:t>
      </w:r>
      <w:r>
        <w:t xml:space="preserve"> Alle KI-Systeme im KI-Inventar der Thalheim Industries SE</w:t>
      </w:r>
    </w:p>
    <w:p/>
    <w:p>
      <w:pPr>
        <w:pStyle w:val="Heading2"/>
      </w:pPr>
      <w:r>
        <w:rPr>
          <w:rFonts w:ascii="Times New Roman" w:hAnsi="Times New Roman"/>
        </w:rPr>
        <w:t>1. Zweck und Anwendungsbereich</w:t>
      </w:r>
    </w:p>
    <w:p>
      <w:pPr>
        <w:jc w:val="left"/>
      </w:pPr>
      <w:r>
        <w:t>Dieses Playbook definiert den konzernweiten Prozess zur Erkennung, Klassifikation, Reaktion und Meldung von KI-bezogenen Sicherheits- und Compliance-Vorfällen (KI-Incidents). Es ergänzt das bestehende allgemeine IT-Incident-Response-Framework (IT-IRM-2024) und das Datenschutzverletzungs-Protokoll nach Art. 33/34 DSGVO.</w:t>
      </w:r>
    </w:p>
    <w:p>
      <w:pPr>
        <w:jc w:val="left"/>
      </w:pPr>
      <w:r>
        <w:rPr>
          <w:b/>
        </w:rPr>
        <w:t>Rechtsgrundlagen:</w:t>
      </w:r>
    </w:p>
    <w:p>
      <w:pPr>
        <w:pStyle w:val="ListBullet"/>
      </w:pPr>
      <w:r>
        <w:t>Art. 73 KI-VO: Meldung schwerwiegender Vorfälle an Marktüberwachungsbehörde (https://dejure.org/gesetze/KIVO/73.html)</w:t>
      </w:r>
    </w:p>
    <w:p>
      <w:pPr>
        <w:pStyle w:val="ListBullet"/>
      </w:pPr>
      <w:r>
        <w:t>Art. 33 DSGVO: Meldung von Datenschutzverletzungen an Aufsichtsbehörde (https://dejure.org/gesetze/DSGVO/33.html)</w:t>
      </w:r>
    </w:p>
    <w:p>
      <w:pPr>
        <w:pStyle w:val="ListBullet"/>
      </w:pPr>
      <w:r>
        <w:t>Art. 26 Abs. 4 KI-VO: Betreiberpflicht zur Incident-Meldung</w:t>
      </w:r>
    </w:p>
    <w:p/>
    <w:p>
      <w:pPr>
        <w:pStyle w:val="Heading2"/>
      </w:pPr>
      <w:r>
        <w:rPr>
          <w:rFonts w:ascii="Times New Roman" w:hAnsi="Times New Roman"/>
        </w:rPr>
        <w:t>2. Incident-Klassifikation</w:t>
      </w:r>
    </w:p>
    <w:p>
      <w:pPr>
        <w:pStyle w:val="Heading3"/>
      </w:pPr>
      <w:r>
        <w:rPr>
          <w:rFonts w:ascii="Times New Roman" w:hAnsi="Times New Roman"/>
        </w:rPr>
        <w:t>Klasse 1 — Kritisch (Sofortmaßnahmen erforderlich)</w:t>
      </w:r>
    </w:p>
    <w:p>
      <w:pPr>
        <w:jc w:val="left"/>
      </w:pPr>
      <w:r>
        <w:rPr>
          <w:b/>
        </w:rPr>
        <w:t>Definition:</w:t>
      </w:r>
      <w:r>
        <w:t xml:space="preserve"> Schwerwiegender Vorfall nach Art. 3 Nr. 49 KI-VO, der eine ernsthafte Bedrohung für Gesundheit, Sicherheit oder Grundrechte darstellt oder zu einem Todesfall geführt hat oder hätte führen können.</w:t>
      </w:r>
    </w:p>
    <w:p>
      <w:pPr>
        <w:jc w:val="left"/>
      </w:pPr>
      <w:r>
        <w:rPr>
          <w:b/>
        </w:rPr>
        <w:t>Beispiele bei Thalheim:</w:t>
      </w:r>
    </w:p>
    <w:p>
      <w:pPr>
        <w:pStyle w:val="ListBullet"/>
      </w:pPr>
      <w:r>
        <w:t>RecruitAI lehnt systematisch alle Bewerber einer bestimmten Nationalität ab (Diskriminierungsverdacht)</w:t>
      </w:r>
    </w:p>
    <w:p>
      <w:pPr>
        <w:pStyle w:val="ListBullet"/>
      </w:pPr>
      <w:r>
        <w:t>CreditVision Score weist nachweisbaren Bias gegen bestimmte Bevölkerungsgruppen auf</w:t>
      </w:r>
    </w:p>
    <w:p>
      <w:pPr>
        <w:pStyle w:val="ListBullet"/>
      </w:pPr>
      <w:r>
        <w:t>Datenpanne bei Synaptec: Bewerberdaten öffentlich zugänglich</w:t>
      </w:r>
    </w:p>
    <w:p>
      <w:pPr>
        <w:jc w:val="left"/>
      </w:pPr>
      <w:r>
        <w:rPr>
          <w:b/>
        </w:rPr>
        <w:t>Reaktionspflicht:</w:t>
      </w:r>
      <w:r>
        <w:t xml:space="preserve"> Sofortiger Stopp des Systems + Meldung an BNetzA (Art. 73 KI-VO) binnen 15 Tagen (Todesfall: sofort).</w:t>
      </w:r>
    </w:p>
    <w:p/>
    <w:p>
      <w:pPr>
        <w:pStyle w:val="Heading3"/>
      </w:pPr>
      <w:r>
        <w:rPr>
          <w:rFonts w:ascii="Times New Roman" w:hAnsi="Times New Roman"/>
        </w:rPr>
        <w:t>Klasse 2 — Schwerwiegend (Reaktion binnen 24 Stunden)</w:t>
      </w:r>
    </w:p>
    <w:p>
      <w:pPr>
        <w:jc w:val="left"/>
      </w:pPr>
      <w:r>
        <w:rPr>
          <w:b/>
        </w:rPr>
        <w:t>Definition:</w:t>
      </w:r>
      <w:r>
        <w:t xml:space="preserve"> Fehlfunktion mit erheblichem Schaden für einzelne Personen; Compliance-Verstoß der KI-VO mit behördlichem Korrekturpotenzial.</w:t>
      </w:r>
    </w:p>
    <w:p>
      <w:pPr>
        <w:jc w:val="left"/>
      </w:pPr>
      <w:r>
        <w:rPr>
          <w:b/>
        </w:rPr>
        <w:t>Beispiele:</w:t>
      </w:r>
    </w:p>
    <w:p>
      <w:pPr>
        <w:pStyle w:val="ListBullet"/>
      </w:pPr>
      <w:r>
        <w:t>RecruitAI generiert Score-Ausgaben jenseits des 0–100-Rahmens (Systemfehler)</w:t>
      </w:r>
    </w:p>
    <w:p>
      <w:pPr>
        <w:pStyle w:val="ListBullet"/>
      </w:pPr>
      <w:r>
        <w:t>CodeAssist gibt Code mit kritischen Sicherheitslücken aus, der ungeprüft in Produktion überführt wird</w:t>
      </w:r>
    </w:p>
    <w:p>
      <w:pPr>
        <w:pStyle w:val="ListBullet"/>
      </w:pPr>
      <w:r>
        <w:t>Schatten-KI in einem Fachbereich mit Personenbezug entdeckt (vgl. Strang 7)</w:t>
      </w:r>
    </w:p>
    <w:p>
      <w:pPr>
        <w:jc w:val="left"/>
      </w:pPr>
      <w:r>
        <w:rPr>
          <w:b/>
        </w:rPr>
        <w:t>Reaktionspflicht:</w:t>
      </w:r>
      <w:r>
        <w:t xml:space="preserve"> CCO + CIO informieren, System isolieren, Sachverhaltsklärung, ggf. LfDI BW.</w:t>
      </w:r>
    </w:p>
    <w:p/>
    <w:p>
      <w:pPr>
        <w:pStyle w:val="Heading3"/>
      </w:pPr>
      <w:r>
        <w:rPr>
          <w:rFonts w:ascii="Times New Roman" w:hAnsi="Times New Roman"/>
        </w:rPr>
        <w:t>Klasse 3 — Moderat (Reaktion binnen 72 Stunden)</w:t>
      </w:r>
    </w:p>
    <w:p>
      <w:pPr>
        <w:jc w:val="left"/>
      </w:pPr>
      <w:r>
        <w:rPr>
          <w:b/>
        </w:rPr>
        <w:t>Definition:</w:t>
      </w:r>
      <w:r>
        <w:t xml:space="preserve"> Funktionsstörungen ohne unmittelbaren Personenschaden; Verstöße gegen interne Richtlinien.</w:t>
      </w:r>
    </w:p>
    <w:p>
      <w:pPr>
        <w:jc w:val="left"/>
      </w:pPr>
      <w:r>
        <w:rPr>
          <w:b/>
        </w:rPr>
        <w:t>Beispiele:</w:t>
      </w:r>
    </w:p>
    <w:p>
      <w:pPr>
        <w:pStyle w:val="ListBullet"/>
      </w:pPr>
      <w:r>
        <w:t>Unberechtigter Zugriff auf Recruiting-Daten intern (Mitarbeiter ohne Berechtigung)</w:t>
      </w:r>
    </w:p>
    <w:p>
      <w:pPr>
        <w:pStyle w:val="ListBullet"/>
      </w:pPr>
      <w:r>
        <w:t>ServiceBot gibt falsche Produktinformationen an Kunden aus</w:t>
      </w:r>
    </w:p>
    <w:p>
      <w:pPr>
        <w:pStyle w:val="ListBullet"/>
      </w:pPr>
      <w:r>
        <w:t>PredictMaint empfiehlt Wartungsintervalle mit erheblicher Abweichung (wirtschaftlicher Schaden)</w:t>
      </w:r>
    </w:p>
    <w:p>
      <w:pPr>
        <w:jc w:val="left"/>
      </w:pPr>
      <w:r>
        <w:rPr>
          <w:b/>
        </w:rPr>
        <w:t>Reaktionspflicht:</w:t>
      </w:r>
      <w:r>
        <w:t xml:space="preserve"> CDO + IT-Security; Dokumentation; ggf. Kundenbenachrichtigung.</w:t>
      </w:r>
    </w:p>
    <w:p/>
    <w:p>
      <w:pPr>
        <w:pStyle w:val="Heading3"/>
      </w:pPr>
      <w:r>
        <w:rPr>
          <w:rFonts w:ascii="Times New Roman" w:hAnsi="Times New Roman"/>
        </w:rPr>
        <w:t>Klasse 4 — Gering (Reaktion binnen 1 Woche)</w:t>
      </w:r>
    </w:p>
    <w:p>
      <w:pPr>
        <w:jc w:val="left"/>
      </w:pPr>
      <w:r>
        <w:rPr>
          <w:b/>
        </w:rPr>
        <w:t>Definition:</w:t>
      </w:r>
      <w:r>
        <w:t xml:space="preserve"> Qualitätsprobleme, Leistungsabfälle, Nutzerbeschwerden ohne Rechtsverletzung.</w:t>
      </w:r>
    </w:p>
    <w:p>
      <w:pPr>
        <w:jc w:val="left"/>
      </w:pPr>
      <w:r>
        <w:rPr>
          <w:b/>
        </w:rPr>
        <w:t>Beispiele:</w:t>
      </w:r>
    </w:p>
    <w:p>
      <w:pPr>
        <w:pStyle w:val="ListBullet"/>
      </w:pPr>
      <w:r>
        <w:t>CodeAssist-Antwortqualität sinkt nach Modell-Update</w:t>
      </w:r>
    </w:p>
    <w:p>
      <w:pPr>
        <w:pStyle w:val="ListBullet"/>
      </w:pPr>
      <w:r>
        <w:t>Bewerbungsportal-Chatbot versteht Fachjargon nicht</w:t>
      </w:r>
    </w:p>
    <w:p>
      <w:pPr>
        <w:jc w:val="left"/>
      </w:pPr>
      <w:r>
        <w:rPr>
          <w:b/>
        </w:rPr>
        <w:t>Reaktionspflicht:</w:t>
      </w:r>
      <w:r>
        <w:t xml:space="preserve"> CDO, Ticketsystem, regulärer Betrieb.</w:t>
      </w:r>
    </w:p>
    <w:p/>
    <w:p>
      <w:pPr>
        <w:pStyle w:val="Heading2"/>
      </w:pPr>
      <w:r>
        <w:rPr>
          <w:rFonts w:ascii="Times New Roman" w:hAnsi="Times New Roman"/>
        </w:rPr>
        <w:t>3. Incident-Response-Prozess</w:t>
      </w:r>
    </w:p>
    <w:p>
      <w:pPr>
        <w:pStyle w:val="Heading3"/>
      </w:pPr>
      <w:r>
        <w:rPr>
          <w:rFonts w:ascii="Times New Roman" w:hAnsi="Times New Roman"/>
        </w:rPr>
        <w:t>Schritt 1: Erkennung und Meldung</w:t>
      </w:r>
    </w:p>
    <w:p>
      <w:pPr>
        <w:jc w:val="left"/>
      </w:pPr>
      <w:r>
        <w:rPr>
          <w:b/>
        </w:rPr>
        <w:t>Erkennungsquellen:</w:t>
      </w:r>
    </w:p>
    <w:p>
      <w:pPr>
        <w:pStyle w:val="ListBullet"/>
      </w:pPr>
      <w:r>
        <w:t>Automatische Monitoring-Alarme (KI-Dashboard, CDO-Bereich)</w:t>
      </w:r>
    </w:p>
    <w:p>
      <w:pPr>
        <w:pStyle w:val="ListBullet"/>
      </w:pPr>
      <w:r>
        <w:t>Meldungen von Mitarbeitern (Hinweisgebersystem, intern: ki-incident@thalheim.de)</w:t>
      </w:r>
    </w:p>
    <w:p>
      <w:pPr>
        <w:pStyle w:val="ListBullet"/>
      </w:pPr>
      <w:r>
        <w:t>Kundenbeschwerden (Vertrieb, Kundenservice)</w:t>
      </w:r>
    </w:p>
    <w:p>
      <w:pPr>
        <w:pStyle w:val="ListBullet"/>
      </w:pPr>
      <w:r>
        <w:t>Behördliche Anfragen (BaFin, LfDI BW)</w:t>
      </w:r>
    </w:p>
    <w:p>
      <w:pPr>
        <w:pStyle w:val="ListBullet"/>
      </w:pPr>
      <w:r>
        <w:t>Revisionsfeststellungen (interne Revision, Hagedorn &amp; Partner)</w:t>
      </w:r>
    </w:p>
    <w:p>
      <w:pPr>
        <w:jc w:val="left"/>
      </w:pPr>
      <w:r>
        <w:rPr>
          <w:b/>
        </w:rPr>
        <w:t>Erstmeldung:</w:t>
      </w:r>
      <w:r>
        <w:t xml:space="preserve"> Jede Mitarbeiterin und jeder Mitarbeiter, der einen KI-Incident erkennt oder vermutet, ist verpflichtet, diesen unverzüglich über das interne Meldeformular (ki-incident@thalheim.de) oder mündlich an den IT-Service-Desk (intern: 4-4000) zu melden.</w:t>
      </w:r>
    </w:p>
    <w:p>
      <w:pPr>
        <w:pStyle w:val="Heading3"/>
      </w:pPr>
      <w:r>
        <w:rPr>
          <w:rFonts w:ascii="Times New Roman" w:hAnsi="Times New Roman"/>
        </w:rPr>
        <w:t>Schritt 2: Erstklassifikation (ICO on Duty)</w:t>
      </w:r>
    </w:p>
    <w:p>
      <w:pPr>
        <w:jc w:val="left"/>
      </w:pPr>
      <w:r>
        <w:t>Der CDO oder sein Stellvertreter klassifiziert den Vorfall innerhalb von 2 Stunden nach Erstmeldung (Klasse 1–4). Bei Klasse 1 und 2: sofortige Eskalation an CCO, CIO, ggf. CEO.</w:t>
      </w:r>
    </w:p>
    <w:p>
      <w:pPr>
        <w:pStyle w:val="Heading3"/>
      </w:pPr>
      <w:r>
        <w:rPr>
          <w:rFonts w:ascii="Times New Roman" w:hAnsi="Times New Roman"/>
        </w:rPr>
        <w:t>Schritt 3: Sofortmaßnahmen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Klasse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Sofortmaßnahme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System stoppen; Notfallteam einberufen; Behörden informieren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CCO + CIO + CEO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System isolieren; Sachverhaltsklärung; Behörden nach 24h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CCO + CIO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Diagnose; ggf. System einschränken; Bericht in 72h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CDO + IT-Security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Ticket; Analyse; reguläres Verfahren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CDO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Schritt 4: Behördliche Meldepflichten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Behörde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Pflicht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Voraussetzung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Bundesnetzagentur (BNetzA)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Art. 73 KI-VO — schwerwiegender Vorfall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 Tage ab Kenntnis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Klasse-1-Vorfall Hochrisiko-System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LfDI BW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Art. 33 DSGVO — Datenschutzverletzung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72 Stunden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Datenpanne mit Risiko für Betroffene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BaFin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MaRisk / aufsichtsrechtlich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Nach MaRisk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CreditVision Score — Systemversagen</w:t>
            </w:r>
          </w:p>
        </w:tc>
      </w:tr>
    </w:tbl>
    <w:p>
      <w:pPr>
        <w:jc w:val="left"/>
      </w:pPr>
      <w:r>
        <w:rPr>
          <w:b/>
        </w:rPr>
        <w:t>Zuständig für alle Behördenmeldungen:</w:t>
      </w:r>
      <w:r>
        <w:t xml:space="preserve"> CCO Annegret Kühnhausen in Abstimmung mit Kanzlei Borchmann Compliance.</w:t>
      </w:r>
    </w:p>
    <w:p>
      <w:pPr>
        <w:pStyle w:val="Heading3"/>
      </w:pPr>
      <w:r>
        <w:rPr>
          <w:rFonts w:ascii="Times New Roman" w:hAnsi="Times New Roman"/>
        </w:rPr>
        <w:t>Schritt 5: Ursachenanalyse und Abschlussbericht</w:t>
      </w:r>
    </w:p>
    <w:p>
      <w:pPr>
        <w:jc w:val="left"/>
      </w:pPr>
      <w:r>
        <w:t>Innerhalb von 30 Tagen nach Incident-Schließung erstellt das CDO-Büro einen Abschlussbericht mit Root-Cause-Analyse und Maßnahmen zur Vermeidung von Wiederholungen. Der Bericht fließt in die jährliche KI-Governance-Review ein.</w:t>
      </w:r>
    </w:p>
    <w:p/>
    <w:p>
      <w:pPr>
        <w:pStyle w:val="Heading2"/>
      </w:pPr>
      <w:r>
        <w:rPr>
          <w:rFonts w:ascii="Times New Roman" w:hAnsi="Times New Roman"/>
        </w:rPr>
        <w:t>4. Spezialfall: Schatten-KI (nicht genehmigte Systeme)</w:t>
      </w:r>
    </w:p>
    <w:p>
      <w:pPr>
        <w:jc w:val="left"/>
      </w:pPr>
      <w:r>
        <w:t>Der Vorfall in der Marketingabteilung (identifiziert März 2026 durch Konzernrevision) zeigt, dass Schatten-KI als eigenständige Incident-Klasse zu behandeln ist:</w:t>
      </w:r>
    </w:p>
    <w:p>
      <w:pPr>
        <w:jc w:val="left"/>
      </w:pPr>
      <w:r>
        <w:rPr>
          <w:b/>
        </w:rPr>
        <w:t>Vorgehen bei Schatten-KI-Entdeckung:</w:t>
      </w:r>
    </w:p>
    <w:p>
      <w:pPr>
        <w:pStyle w:val="ListNumber"/>
      </w:pPr>
      <w:r>
        <w:t>Sofortige Abschaltung des nicht genehmigten Systems durch IT auf Anweisung CDO.</w:t>
      </w:r>
    </w:p>
    <w:p>
      <w:pPr>
        <w:pStyle w:val="ListNumber"/>
      </w:pPr>
      <w:r>
        <w:t>Sicherung der Nutzungsprotokolle (soweit zugänglich).</w:t>
      </w:r>
    </w:p>
    <w:p>
      <w:pPr>
        <w:pStyle w:val="ListNumber"/>
      </w:pPr>
      <w:r>
        <w:t>Datenschutzprüfung: Wurden personenbezogene Daten verarbeitet? → DSGVO Art. 33?</w:t>
      </w:r>
    </w:p>
    <w:p>
      <w:pPr>
        <w:pStyle w:val="ListNumber"/>
      </w:pPr>
      <w:r>
        <w:t>Disziplinarische Anhörung der verantwortlichen Person (Personalrecht, CCO + HR).</w:t>
      </w:r>
    </w:p>
    <w:p>
      <w:pPr>
        <w:pStyle w:val="ListNumber"/>
      </w:pPr>
      <w:r>
        <w:t>Analyse: Wie konnte das System eingesetzt werden? Technische Zugangskontrollen verschärfen.</w:t>
      </w:r>
    </w:p>
    <w:p>
      <w:pPr>
        <w:pStyle w:val="ListNumber"/>
      </w:pPr>
      <w:r>
        <w:t>Protokollierung im Incident-Register.</w:t>
      </w:r>
    </w:p>
    <w:p/>
    <w:p>
      <w:pPr>
        <w:pStyle w:val="Heading2"/>
      </w:pPr>
      <w:r>
        <w:rPr>
          <w:rFonts w:ascii="Times New Roman" w:hAnsi="Times New Roman"/>
        </w:rPr>
        <w:t>5. Incident-Register</w:t>
      </w:r>
    </w:p>
    <w:p>
      <w:pPr>
        <w:jc w:val="left"/>
      </w:pPr>
      <w:r>
        <w:t>Alle KI-Incidents werden im zentralen KI-Incident-Register (SharePoint, Zugriff: CCO, CDO, CIO, DSB) dokumentiert mit folgenden Feldern:</w:t>
      </w:r>
    </w:p>
    <w:p>
      <w:pPr>
        <w:pStyle w:val="ListBullet"/>
      </w:pPr>
      <w:r>
        <w:t>Incident-ID; Datum; Klasse; betroffenes System; Beschreibung; Entdeckungsquelle; Sofortmaßnahmen; Behördliche Meldungen; Root Cause; Abschlussdatum; Maßnahmen.</w:t>
      </w:r>
    </w:p>
    <w:p>
      <w:pPr>
        <w:jc w:val="left"/>
      </w:pPr>
      <w:r>
        <w:rPr>
          <w:b/>
        </w:rPr>
        <w:t>Aktueller Eintrag:</w:t>
      </w:r>
    </w:p>
    <w:p>
      <w:pPr>
        <w:pStyle w:val="ListBullet"/>
      </w:pPr>
      <w:r>
        <w:t>INC-2026-003: Schatten-KI Marketing (Midjourney-API); entdeckt 14.03.2026; Klasse 2; IT-Abschaltung 14.03.2026; Sachverhaltsklärung läuft.</w:t>
      </w:r>
    </w:p>
    <w:p/>
    <w:p>
      <w:pPr>
        <w:jc w:val="left"/>
      </w:pPr>
      <w:r>
        <w:rPr>
          <w:i/>
        </w:rPr>
        <w:t>Aktenzeichen: TI-KI-2026-013. Freigegeben: A. Kühnhausen, Dr. S. Wolfsbacher. Stand: März 2026.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Thalheim Industries SE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Thalheim Industries SE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Unternehmen · Aktenzeichen: TI-KI-2026-013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