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Konformitätsprüfung RecruitAI — Auditbericht (Zwischenbericht)</w:t>
      </w:r>
    </w:p>
    <w:p>
      <w:pPr>
        <w:jc w:val="left"/>
      </w:pPr>
      <w:r>
        <w:rPr>
          <w:b/>
        </w:rPr>
        <w:t>Aktenzeichen:</w:t>
      </w:r>
      <w:r>
        <w:t xml:space="preserve"> TI-KI-2026-012</w:t>
      </w:r>
    </w:p>
    <w:p>
      <w:pPr>
        <w:jc w:val="left"/>
      </w:pPr>
      <w:r>
        <w:rPr>
          <w:b/>
        </w:rPr>
        <w:t>Prüfender:</w:t>
      </w:r>
      <w:r>
        <w:t xml:space="preserve"> WPG Hagedorn &amp; Partner, Frankfurt am Main (Prüfungsleitung: Dr. Miriam Hagedorn)</w:t>
      </w:r>
    </w:p>
    <w:p>
      <w:pPr>
        <w:jc w:val="left"/>
      </w:pPr>
      <w:r>
        <w:rPr>
          <w:b/>
        </w:rPr>
        <w:t>Auftraggeber:</w:t>
      </w:r>
      <w:r>
        <w:t xml:space="preserve"> Thalheim Industries SE, CCO Annegret Kühnhausen</w:t>
      </w:r>
    </w:p>
    <w:p>
      <w:pPr>
        <w:jc w:val="left"/>
      </w:pPr>
      <w:r>
        <w:rPr>
          <w:b/>
        </w:rPr>
        <w:t>Prüfungszeitraum:</w:t>
      </w:r>
      <w:r>
        <w:t xml:space="preserve"> 15. Januar 2026 – laufend (Abschlussbericht geplant: 31. Juli 2026)</w:t>
      </w:r>
    </w:p>
    <w:p>
      <w:pPr>
        <w:jc w:val="left"/>
      </w:pPr>
      <w:r>
        <w:rPr>
          <w:b/>
        </w:rPr>
        <w:t>Berichtsdatum:</w:t>
      </w:r>
      <w:r>
        <w:t xml:space="preserve"> 28. Februar 2026</w:t>
      </w:r>
    </w:p>
    <w:p>
      <w:pPr>
        <w:jc w:val="left"/>
      </w:pPr>
      <w:r>
        <w:rPr>
          <w:b/>
        </w:rPr>
        <w:t>Berichtstyp:</w:t>
      </w:r>
      <w:r>
        <w:t xml:space="preserve"> Zwischenbericht</w:t>
      </w:r>
    </w:p>
    <w:p/>
    <w:p>
      <w:pPr>
        <w:pStyle w:val="Heading2"/>
      </w:pPr>
      <w:r>
        <w:rPr>
          <w:rFonts w:ascii="Times New Roman" w:hAnsi="Times New Roman"/>
        </w:rPr>
        <w:t>1. Auftrag und Prüfungsumfang</w:t>
      </w:r>
    </w:p>
    <w:p>
      <w:pPr>
        <w:jc w:val="left"/>
      </w:pPr>
      <w:r>
        <w:t xml:space="preserve">Hagedorn &amp; Partner wurde durch Thalheim Industries SE mandatiert, die Konformitätsbewertung für das Hochrisiko-KI-System </w:t>
      </w:r>
      <w:r>
        <w:rPr>
          <w:b/>
        </w:rPr>
        <w:t>RecruitAI</w:t>
      </w:r>
      <w:r>
        <w:t xml:space="preserve"> (Vendor: Synaptec Analytics GmbH) nach Art. 43 Abs. 2 KI-VO zu begleiten. RecruitAI fällt unter Anhang III Nr. 4 lit. a KI-VO (Personalauswahl/-priorisierung) und ist damit als Hochrisiko-System eingestuft.</w:t>
      </w:r>
    </w:p>
    <w:p>
      <w:pPr>
        <w:jc w:val="left"/>
      </w:pPr>
      <w:r>
        <w:rPr>
          <w:b/>
        </w:rPr>
        <w:t>Prüfungsgrundlage:</w:t>
      </w:r>
    </w:p>
    <w:p>
      <w:pPr>
        <w:pStyle w:val="ListBullet"/>
      </w:pPr>
      <w:r>
        <w:t>Art. 9–17 KI-VO (Hochrisiko-Pflichten)</w:t>
      </w:r>
    </w:p>
    <w:p>
      <w:pPr>
        <w:pStyle w:val="ListBullet"/>
      </w:pPr>
      <w:r>
        <w:t>Art. 43 KI-VO (Konformitätsbewertungsverfahren)</w:t>
      </w:r>
    </w:p>
    <w:p>
      <w:pPr>
        <w:pStyle w:val="ListBullet"/>
      </w:pPr>
      <w:r>
        <w:t>ISO/IEC 42001 (KI-Managementsystem, informativ)</w:t>
      </w:r>
    </w:p>
    <w:p>
      <w:pPr>
        <w:pStyle w:val="ListBullet"/>
      </w:pPr>
      <w:r>
        <w:t>NIST AI RMF (informativ)</w:t>
      </w:r>
    </w:p>
    <w:p>
      <w:pPr>
        <w:pStyle w:val="ListBullet"/>
      </w:pPr>
      <w:r>
        <w:t>Interne Vorgaben Thalheim Industries SE (KI-Governance-Leitlinie v2.1)</w:t>
      </w:r>
    </w:p>
    <w:p>
      <w:pPr>
        <w:jc w:val="left"/>
      </w:pPr>
      <w:r>
        <w:rPr>
          <w:b/>
        </w:rPr>
        <w:t>Prüfungsumfang:</w:t>
      </w:r>
    </w:p>
    <w:p>
      <w:pPr>
        <w:pStyle w:val="ListNumber"/>
      </w:pPr>
      <w:r>
        <w:t>Risikomanagementsystem (Art. 9)</w:t>
      </w:r>
    </w:p>
    <w:p>
      <w:pPr>
        <w:pStyle w:val="ListNumber"/>
      </w:pPr>
      <w:r>
        <w:t>Daten-Governance (Art. 10)</w:t>
      </w:r>
    </w:p>
    <w:p>
      <w:pPr>
        <w:pStyle w:val="ListNumber"/>
      </w:pPr>
      <w:r>
        <w:t>Technische Dokumentation (Art. 11)</w:t>
      </w:r>
    </w:p>
    <w:p>
      <w:pPr>
        <w:pStyle w:val="ListNumber"/>
      </w:pPr>
      <w:r>
        <w:t>Protokollierung (Art. 12)</w:t>
      </w:r>
    </w:p>
    <w:p>
      <w:pPr>
        <w:pStyle w:val="ListNumber"/>
      </w:pPr>
      <w:r>
        <w:t>Transparenz / Gebrauchsanweisung (Art. 13)</w:t>
      </w:r>
    </w:p>
    <w:p>
      <w:pPr>
        <w:pStyle w:val="ListNumber"/>
      </w:pPr>
      <w:r>
        <w:t>Menschliche Aufsicht (Art. 14)</w:t>
      </w:r>
    </w:p>
    <w:p>
      <w:pPr>
        <w:pStyle w:val="ListNumber"/>
      </w:pPr>
      <w:r>
        <w:t>Genauigkeit, Robustheit, Cybersicherheit (Art. 15)</w:t>
      </w:r>
    </w:p>
    <w:p>
      <w:pPr>
        <w:pStyle w:val="ListNumber"/>
      </w:pPr>
      <w:r>
        <w:t>Qualitätsmanagementsystem (Art. 17)</w:t>
      </w:r>
    </w:p>
    <w:p/>
    <w:p>
      <w:pPr>
        <w:pStyle w:val="Heading2"/>
      </w:pPr>
      <w:r>
        <w:rPr>
          <w:rFonts w:ascii="Times New Roman" w:hAnsi="Times New Roman"/>
        </w:rPr>
        <w:t>2. Prüfungsergebnisse im 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Prüfbereich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Kritikalität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Risikomanagementsystem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9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Vorhanden; Aktualisierung erforderlich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Daten-Governance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10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dokumentiert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Bias-Tests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Art. 9 Abs. 7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Fehlen 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Technische Dokumentation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11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(Vendor); Nachforderung läuft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Protokollierung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12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Implementiert; Protokolltiefe 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Gebrauchsanweisung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13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 (DE); ausreichend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Menschliche Aufsicht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14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Konzept vorhanden; SOP 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Override-Mechanismus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14 Abs. 4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Technisch möglich; SOP 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Automatische Ablehnung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14 / Art. 22 DSGVO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Ohne HR-Aktiv-Bestätigung möglich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Genauigkeit / Robustheit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15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Herstellerangaben; unabhängige Prüfung 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Cybersicherheit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15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Pentest Synaptec-Server 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QMS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17 KI-VO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ISO 9001 Thalheim; Synaptec ISO 27001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Ausreichend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Kritische Feststellungen (Detail)</w:t>
      </w:r>
    </w:p>
    <w:p>
      <w:pPr>
        <w:pStyle w:val="Heading3"/>
      </w:pPr>
      <w:r>
        <w:rPr>
          <w:rFonts w:ascii="Times New Roman" w:hAnsi="Times New Roman"/>
        </w:rPr>
        <w:t>Feststellung F-001 — Fehlende Bias-Tests (KRITISCH)</w:t>
      </w:r>
    </w:p>
    <w:p>
      <w:pPr>
        <w:jc w:val="left"/>
      </w:pPr>
      <w:r>
        <w:rPr>
          <w:b/>
        </w:rPr>
        <w:t>Sachverhalt:</w:t>
      </w:r>
      <w:r>
        <w:t xml:space="preserve"> Die Hagedorn-Prüfung hat ergeben, dass Synaptec Analytics GmbH für das RecruitAI-Modell keine dokumentierten Tests zur Erkennung und Minimierung verzerrter Ausgaben (Bias) nach Art. 9 Abs. 7 KI-VO vorgelegt hat. Synaptec hat auf Anfrage lediglich ein Whitepaper aus dem Jahr 2022 vorgelegt, das allgemeine Fairness-Prinzipien beschreibt, aber keine aktuellen, modellspezifischen Testergebnisse enthält.</w:t>
      </w:r>
    </w:p>
    <w:p>
      <w:pPr>
        <w:jc w:val="left"/>
      </w:pPr>
      <w:r>
        <w:rPr>
          <w:b/>
        </w:rPr>
        <w:t>Rechtliche Bewertung:</w:t>
      </w:r>
      <w:r>
        <w:t xml:space="preserve"> Art. 9 Abs. 7 KI-VO verpflichtet Anbieter von Hochrisiko-KI-Systemen, diese auf Bias (Verzerrungen) zu testen, die zu einem in Art. 5 Abs. 1 lit. b GrCh verbotenen Ergebnis führen könnten, namentlich diskriminierende Ergebnisse bei Entscheidungen in Bereichen wie Beschäftigung. Ohne nachweisliche Bias-Tests kann die Konformitätsbewertung nicht mit positivem Ergebnis abgeschlossen werden.</w:t>
      </w:r>
    </w:p>
    <w:p>
      <w:pPr>
        <w:jc w:val="left"/>
      </w:pPr>
      <w:r>
        <w:rPr>
          <w:b/>
        </w:rPr>
        <w:t>Risikobewertung:</w:t>
      </w:r>
      <w:r>
        <w:t xml:space="preserve"> KRITISCH. Ohne positive Bias-Test-Ergebnisse:</w:t>
      </w:r>
    </w:p>
    <w:p>
      <w:pPr>
        <w:pStyle w:val="ListBullet"/>
      </w:pPr>
      <w:r>
        <w:t>Kann die Konformitätserklärung nicht ausgestellt werden (Art. 48 KI-VO).</w:t>
      </w:r>
    </w:p>
    <w:p>
      <w:pPr>
        <w:pStyle w:val="ListBullet"/>
      </w:pPr>
      <w:r>
        <w:t>Darf das System nach dem 02.08.2026 nicht weiterbetrieben werden.</w:t>
      </w:r>
    </w:p>
    <w:p>
      <w:pPr>
        <w:pStyle w:val="ListBullet"/>
      </w:pPr>
      <w:r>
        <w:t>Besteht ein erhebliches Diskriminierungsrisiko gegenüber Bewerbern.</w:t>
      </w:r>
    </w:p>
    <w:p>
      <w:pPr>
        <w:jc w:val="left"/>
      </w:pPr>
      <w:r>
        <w:rPr>
          <w:b/>
        </w:rPr>
        <w:t>Empfehlung:</w:t>
      </w:r>
      <w:r>
        <w:t xml:space="preserve"> Parallel zu Synaptec sind unabhängige Bias-Tests durch einen spezialisierten Dienstleister zu beauftragen. Dringlichkeit: SOFORT.</w:t>
      </w:r>
    </w:p>
    <w:p/>
    <w:p>
      <w:pPr>
        <w:pStyle w:val="Heading3"/>
      </w:pPr>
      <w:r>
        <w:rPr>
          <w:rFonts w:ascii="Times New Roman" w:hAnsi="Times New Roman"/>
        </w:rPr>
        <w:t>Feststellung F-002 — Automatische Ablehnung ohne HR-Bestätigung (KRITISCH)</w:t>
      </w:r>
    </w:p>
    <w:p>
      <w:pPr>
        <w:jc w:val="left"/>
      </w:pPr>
      <w:r>
        <w:rPr>
          <w:b/>
        </w:rPr>
        <w:t>Sachverhalt:</w:t>
      </w:r>
      <w:r>
        <w:t xml:space="preserve"> Technische Analyse der Systemlogs zeigt, dass zwischen September 2024 und Februar 2026 in 143 Fällen Bewerber automatisch abgelehnt wurden (Score unter 40), ohne dass eine HR-Mitarbeiterin oder ein HR-Mitarbeiter aktiv eine Ablehnung bestätigt hat. Stattdessen wurde eine automatisierte Ablehnungs-E-Mail durch das System versendet.</w:t>
      </w:r>
    </w:p>
    <w:p>
      <w:pPr>
        <w:jc w:val="left"/>
      </w:pPr>
      <w:r>
        <w:rPr>
          <w:b/>
        </w:rPr>
        <w:t>Rechtliche Bewertung:</w:t>
      </w:r>
      <w:r>
        <w:t xml:space="preserve"> Dies stellt einen Verstoß gegen Art. 14 KI-VO (menschliche Aufsicht) und möglicherweise gegen Art. 22 DSGVO (https://dejure.org/gesetze/DSGVO/22.html) dar. Art. 22 DSGVO gibt betroffenen Personen das Recht, nicht einer ausschließlich automatisierten Entscheidung unterworfen zu werden, die rechtliche oder ähnlich erhebliche Wirkung entfaltet. Eine Ablehnung einer Bewerbung hat ähnlich erhebliche Wirkung.</w:t>
      </w:r>
    </w:p>
    <w:p>
      <w:pPr>
        <w:jc w:val="left"/>
      </w:pPr>
      <w:r>
        <w:rPr>
          <w:b/>
        </w:rPr>
        <w:t>Risikobewertung:</w:t>
      </w:r>
      <w:r>
        <w:t xml:space="preserve"> KRITISCH. Mögliche Haftung gegenüber betroffenen Bewerbern. Meldepflicht nach Art. 35 DSGVO (DPIA) für dieses Verarbeitungsmerkmal. Empfehlung zur Überprüfung der 143 Fälle durch DSB.</w:t>
      </w:r>
    </w:p>
    <w:p>
      <w:pPr>
        <w:jc w:val="left"/>
      </w:pPr>
      <w:r>
        <w:rPr>
          <w:b/>
        </w:rPr>
        <w:t>Empfehlung:</w:t>
      </w:r>
      <w:r>
        <w:t xml:space="preserve"> Sofortige technische Sperre der automatischen Ablehnung; aktiver HR-Override als Pflichtschritt.</w:t>
      </w:r>
    </w:p>
    <w:p/>
    <w:p>
      <w:pPr>
        <w:pStyle w:val="Heading3"/>
      </w:pPr>
      <w:r>
        <w:rPr>
          <w:rFonts w:ascii="Times New Roman" w:hAnsi="Times New Roman"/>
        </w:rPr>
        <w:t>Feststellung F-003 — Unvollständige technische Dokumentation (HOCH)</w:t>
      </w:r>
    </w:p>
    <w:p>
      <w:pPr>
        <w:jc w:val="left"/>
      </w:pPr>
      <w:r>
        <w:t>Synaptec hat die technische Dokumentation nach Art. 11 i.V.m. Anhang IV KI-VO nur teilweise vorgelegt. Fehlende Abschnitte: Modellarchitektur, Trainingsverfahren, verwendete Datensätze (Herkunft, Umfang, Preprocessing). Nachforderung ist gestellt; Frist 30.04.2026.</w:t>
      </w:r>
    </w:p>
    <w:p/>
    <w:p>
      <w:pPr>
        <w:pStyle w:val="Heading2"/>
      </w:pPr>
      <w:r>
        <w:rPr>
          <w:rFonts w:ascii="Times New Roman" w:hAnsi="Times New Roman"/>
        </w:rPr>
        <w:t>4. Positiv bewertete Aspekte</w:t>
      </w:r>
    </w:p>
    <w:p>
      <w:pPr>
        <w:pStyle w:val="ListBullet"/>
      </w:pPr>
      <w:r>
        <w:t>Protokollierung (Art. 12): Aktiviert und ausreichend tief für Nachvollziehbarkeit.</w:t>
      </w:r>
    </w:p>
    <w:p>
      <w:pPr>
        <w:pStyle w:val="ListBullet"/>
      </w:pPr>
      <w:r>
        <w:t>Gebrauchsanweisung (Art. 13): In verständlichem Deutsch vorhanden.</w:t>
      </w:r>
    </w:p>
    <w:p>
      <w:pPr>
        <w:pStyle w:val="ListBullet"/>
      </w:pPr>
      <w:r>
        <w:t>AVV mit Synaptec: Vorhanden und DSGVO-konform.</w:t>
      </w:r>
    </w:p>
    <w:p>
      <w:pPr>
        <w:pStyle w:val="ListBullet"/>
      </w:pPr>
      <w:r>
        <w:t>IT-Sicherheit Thalheim-Seite: ISO 27001 zertifiziert (gültig bis 06/2027).</w:t>
      </w:r>
    </w:p>
    <w:p/>
    <w:p>
      <w:pPr>
        <w:pStyle w:val="Heading2"/>
      </w:pPr>
      <w:r>
        <w:rPr>
          <w:rFonts w:ascii="Times New Roman" w:hAnsi="Times New Roman"/>
        </w:rPr>
        <w:t>5. Weiteres Vorgehen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Unabhängige Bias-Tests beauftragen (F-001)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CCO / CDO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31.03.2026 ✓ (Beschluss KI-Komitee)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Technische Sperre automatische Ablehnung (F-002)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 / Synaptec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Überprüfung 143 Betroffene (F-002)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DSB Dr. Eichenmüller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Nachforderung Technikdokumentation (F-003)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CIO / Synaptec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SOP menschliche Aufsicht erstellen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Pentest Synaptec-Server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IT-Security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Abschluss Konformitätsprüfung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Hagedorn &amp; Partner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</w:tr>
    </w:tbl>
    <w:p/>
    <w:p>
      <w:pPr>
        <w:jc w:val="left"/>
      </w:pPr>
      <w:r>
        <w:rPr>
          <w:i/>
        </w:rPr>
        <w:t>Zwischenbericht, Aktenzeichen TI-KI-2026-012. WPG Hagedorn &amp; Partner, Frankfurt. Prüfungsleitung Dr. M. Hagedorn. 28.02.2026.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Thalheim Industries SE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CCO Annegret Kühnhausen · Aktenzeichen: TI-KI-2026-012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