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Interner Revisionsbericht — KI-Compliance (März/April 2026)</w:t>
      </w:r>
    </w:p>
    <w:p>
      <w:pPr>
        <w:jc w:val="left"/>
      </w:pPr>
      <w:r>
        <w:rPr>
          <w:b/>
        </w:rPr>
        <w:t>Aktenzeichen:</w:t>
      </w:r>
      <w:r>
        <w:t xml:space="preserve"> TI-KI-2026-016</w:t>
      </w:r>
    </w:p>
    <w:p>
      <w:pPr>
        <w:jc w:val="left"/>
      </w:pPr>
      <w:r>
        <w:rPr>
          <w:b/>
        </w:rPr>
        <w:t>Dokumentversion:</w:t>
      </w:r>
      <w:r>
        <w:t xml:space="preserve"> 1.0 (Endfassung)</w:t>
      </w:r>
    </w:p>
    <w:p>
      <w:pPr>
        <w:jc w:val="left"/>
      </w:pPr>
      <w:r>
        <w:rPr>
          <w:b/>
        </w:rPr>
        <w:t>Datum:</w:t>
      </w:r>
      <w:r>
        <w:t xml:space="preserve"> 02. Mai 2026</w:t>
      </w:r>
    </w:p>
    <w:p>
      <w:pPr>
        <w:jc w:val="left"/>
      </w:pPr>
      <w:r>
        <w:rPr>
          <w:b/>
        </w:rPr>
        <w:t>Verfasser:</w:t>
      </w:r>
      <w:r>
        <w:t xml:space="preserve"> Franz-Josef Brammer, Leiter Konzernrevision Thalheim Industries SE</w:t>
      </w:r>
    </w:p>
    <w:p>
      <w:pPr>
        <w:jc w:val="left"/>
      </w:pPr>
      <w:r>
        <w:rPr>
          <w:b/>
        </w:rPr>
        <w:t>Verteiler:</w:t>
      </w:r>
      <w:r>
        <w:t xml:space="preserve"> CEO Dr. Thalheim-Lattermann; CCO Kühnhausen; CIO Dr. Wolfsbacher; CDO Petersen; KI-Komitee</w:t>
      </w:r>
    </w:p>
    <w:p>
      <w:pPr>
        <w:jc w:val="left"/>
      </w:pPr>
      <w:r>
        <w:rPr>
          <w:b/>
        </w:rPr>
        <w:t>Prüfungszeitraum:</w:t>
      </w:r>
      <w:r>
        <w:t xml:space="preserve"> 01. März 2026 – 15. April 2026</w:t>
      </w:r>
    </w:p>
    <w:p/>
    <w:p>
      <w:pPr>
        <w:pStyle w:val="Heading2"/>
      </w:pPr>
      <w:r>
        <w:rPr>
          <w:rFonts w:ascii="Times New Roman" w:hAnsi="Times New Roman"/>
        </w:rPr>
        <w:t>1. Prüfungsauftrag und Methodik</w:t>
      </w:r>
    </w:p>
    <w:p>
      <w:pPr>
        <w:jc w:val="left"/>
      </w:pPr>
      <w:r>
        <w:t>Die Konzernrevision hat im Zeitraum März/April 2026 eine anlassbezogene und routinemäßige KI-Compliance-Prüfung durchgeführt. Anlassbezogener Auslöser war die Entdeckung des nicht genehmigten GenAI-Tools in der Marketingabteilung am 14.03.2026 (sog. Schatten-KI). Die Prüfung wurde auf das gesamte KI-Governance-Programm TI-KI-2026 ausgeweitet.</w:t>
      </w:r>
    </w:p>
    <w:p>
      <w:pPr>
        <w:jc w:val="left"/>
      </w:pPr>
      <w:r>
        <w:rPr>
          <w:b/>
        </w:rPr>
        <w:t>Prüfungsmethoden:</w:t>
      </w:r>
    </w:p>
    <w:p>
      <w:pPr>
        <w:pStyle w:val="ListBullet"/>
      </w:pPr>
      <w:r>
        <w:t>Dokumentenanalyse (KI-Inventar, Governance-Dokumentation, Vendor-Verträge)</w:t>
      </w:r>
    </w:p>
    <w:p>
      <w:pPr>
        <w:pStyle w:val="ListBullet"/>
      </w:pPr>
      <w:r>
        <w:t>Interviews mit verantwortlichen Personen (CIO, CDO, CCO, DSB, HR, Finanzierung, IT-Security)</w:t>
      </w:r>
    </w:p>
    <w:p>
      <w:pPr>
        <w:pStyle w:val="ListBullet"/>
      </w:pPr>
      <w:r>
        <w:t>Technische Sichtprüfung (Systemzugriffe, Log-Analyse)</w:t>
      </w:r>
    </w:p>
    <w:p>
      <w:pPr>
        <w:pStyle w:val="ListBullet"/>
      </w:pPr>
      <w:r>
        <w:t>Vergleich mit internen Richtlinien (KI-Governance-Leitlinie v2.1) und externen Anforderungen (KI-VO, DSGVO)</w:t>
      </w:r>
    </w:p>
    <w:p/>
    <w:p>
      <w:pPr>
        <w:pStyle w:val="Heading2"/>
      </w:pPr>
      <w:r>
        <w:rPr>
          <w:rFonts w:ascii="Times New Roman" w:hAnsi="Times New Roman"/>
        </w:rPr>
        <w:t>2. Feststellungen</w:t>
      </w:r>
    </w:p>
    <w:p>
      <w:pPr>
        <w:pStyle w:val="Heading3"/>
      </w:pPr>
      <w:r>
        <w:rPr>
          <w:rFonts w:ascii="Times New Roman" w:hAnsi="Times New Roman"/>
        </w:rPr>
        <w:t>Feststellung R-001 — Schatten-KI Marketingabteilung (KRITISCH)</w:t>
      </w:r>
    </w:p>
    <w:p>
      <w:pPr>
        <w:jc w:val="left"/>
      </w:pPr>
      <w:r>
        <w:rPr>
          <w:b/>
        </w:rPr>
        <w:t>Sachverhalt:</w:t>
      </w:r>
      <w:r>
        <w:t xml:space="preserve"> Die Marketingabteilung (Leiter: Dr. Philipp Sonntag) hat seit Juli 2025 (Beginn geschätzt auf Basis erster Log-Daten) ein nicht genehmigtes KI-Tool (Midjourney API-Integration über eigens eingerichteten Server) für Bildgenerierung und Texterstellung eingesetzt. Das Tool wurde außerhalb des zentralen CDO-verwalteten IT-Stack betrieben und war weder im KI-Inventar eingetragen noch durch den KI-Freigabeprozess genehmigt worden.</w:t>
      </w:r>
    </w:p>
    <w:p>
      <w:pPr>
        <w:jc w:val="left"/>
      </w:pPr>
      <w:r>
        <w:rPr>
          <w:b/>
        </w:rPr>
        <w:t>Volumen:</w:t>
      </w:r>
      <w:r>
        <w:t xml:space="preserve"> Mindestens 8 Monate Betrieb; ca. 2.400 API-Anfragen (rekonstruiert aus Cloud-Kostenabrechnungen).</w:t>
      </w:r>
    </w:p>
    <w:p>
      <w:pPr>
        <w:jc w:val="left"/>
      </w:pPr>
      <w:r>
        <w:rPr>
          <w:b/>
        </w:rPr>
        <w:t>Datenrisiko:</w:t>
      </w:r>
      <w:r>
        <w:t xml:space="preserve"> Prüfung durch DSB Dr. Eichenmüller ergab, dass in 34 von 2.400 Anfragen Nachnamen und Firmennamen von Kunden in Prompts eingegeben wurden. Diese Daten wurden an die Midjourney-Server (USA, keine adequate-level-Entscheidung für diesen Verarbeitungskontext) übermittelt. Potenzielle DSGVO-Verletzung (Art. 44 ff. DSGVO); Meldepflicht an LfDI BW wird geprüft.</w:t>
      </w:r>
    </w:p>
    <w:p>
      <w:pPr>
        <w:jc w:val="left"/>
      </w:pPr>
      <w:r>
        <w:rPr>
          <w:b/>
        </w:rPr>
        <w:t>Ursachen:</w:t>
      </w:r>
      <w:r>
        <w:t xml:space="preserve"> (1) Fehlende technische Zugangskontrollen (API-Nutzung nicht geblockt); (2) Unzureichende Sensibilisierung der Führungskräfte (AI-Literacy-Rückstand); (3) Unklare Kommunikation der KI-Governance-Anforderungen.</w:t>
      </w:r>
    </w:p>
    <w:p>
      <w:pPr>
        <w:jc w:val="left"/>
      </w:pPr>
      <w:r>
        <w:rPr>
          <w:b/>
        </w:rPr>
        <w:t>Empfehlung:</w:t>
      </w:r>
      <w:r>
        <w:t xml:space="preserve"> Sofortige Überprüfung und Sperrung nicht autorisierter API-Endpunkte. Arbeitsrechtliche Konsequenzen für Dr. Sonntag prüfen (nach Anhörung). Nachträgliche Datenschutzprüfung der 34 Kundendaten-Fälle. Eskalation an LfDI BW ggf. nach Art. 33 DSGVO.</w:t>
      </w:r>
    </w:p>
    <w:p/>
    <w:p>
      <w:pPr>
        <w:pStyle w:val="Heading3"/>
      </w:pPr>
      <w:r>
        <w:rPr>
          <w:rFonts w:ascii="Times New Roman" w:hAnsi="Times New Roman"/>
        </w:rPr>
        <w:t>Feststellung R-002 — AI-Literacy-Schulungsrückstand als systemisches Risiko (HOCH)</w:t>
      </w:r>
    </w:p>
    <w:p>
      <w:pPr>
        <w:jc w:val="left"/>
      </w:pPr>
      <w:r>
        <w:rPr>
          <w:b/>
        </w:rPr>
        <w:t>Sachverhalt:</w:t>
      </w:r>
      <w:r>
        <w:t xml:space="preserve"> Nur 38 % aller Mitarbeitern haben Modul A abgeschlossen (Stand März 2026). In Fachbereichen mit Hochrisiko-Systemen (HR: 36 %, Finanzierung: 40 %) besonders kritisch. Der Betriebsrat hat noch keinerlei Schulung erhalten.</w:t>
      </w:r>
    </w:p>
    <w:p>
      <w:pPr>
        <w:jc w:val="left"/>
      </w:pPr>
      <w:r>
        <w:rPr>
          <w:b/>
        </w:rPr>
        <w:t>Bewertung:</w:t>
      </w:r>
      <w:r>
        <w:t xml:space="preserve"> Das Vorkommnis mit der Schatten-KI in der Marketingabteilung ist unmittelbar auf den Schulungsrückstand zurückzuführen. Dr. Sonntag und sein Team wussten nicht um die KI-Freigabepflicht. Dies zeigt: der Schulungsrückstand ist kein administratives Problem, sondern ein systemisches Compliance-Risiko.</w:t>
      </w:r>
    </w:p>
    <w:p>
      <w:pPr>
        <w:jc w:val="left"/>
      </w:pPr>
      <w:r>
        <w:rPr>
          <w:b/>
        </w:rPr>
        <w:t>Empfehlung:</w:t>
      </w:r>
      <w:r>
        <w:t xml:space="preserve"> Sofortprogramm AI Literacy mit Führungskräftepflicht. Monatliches Reporting an KI-Komitee. Kopplung der Freigabe neuer KI-Tools an Schulungsnachweis des Antragstellers.</w:t>
      </w:r>
    </w:p>
    <w:p/>
    <w:p>
      <w:pPr>
        <w:pStyle w:val="Heading3"/>
      </w:pPr>
      <w:r>
        <w:rPr>
          <w:rFonts w:ascii="Times New Roman" w:hAnsi="Times New Roman"/>
        </w:rPr>
        <w:t>Feststellung R-003 — Keine vollständige Vendor-Vertragsrevision nach KI-VO (MITTEL)</w:t>
      </w:r>
    </w:p>
    <w:p>
      <w:pPr>
        <w:jc w:val="left"/>
      </w:pPr>
      <w:r>
        <w:rPr>
          <w:b/>
        </w:rPr>
        <w:t>Sachverhalt:</w:t>
      </w:r>
      <w:r>
        <w:t xml:space="preserve"> Die Bestandsverträge mit Synaptec Analytics GmbH und CreditVision AG enthalten keine KI-VO-spezifischen Klauseln (Bias-Test-Pflichten, Meldepflichten bei Incidents, technische Dokumentations-SLA). Der OpenAI-Vertrag enthält ebenfalls keine EU-AI-Act-Klausel.</w:t>
      </w:r>
    </w:p>
    <w:p>
      <w:pPr>
        <w:jc w:val="left"/>
      </w:pPr>
      <w:r>
        <w:rPr>
          <w:b/>
        </w:rPr>
        <w:t>Bewertung:</w:t>
      </w:r>
      <w:r>
        <w:t xml:space="preserve"> Thalheim trägt als Betreiber die Verantwortung dafür, dass die Vendor-Systeme die KI-VO-Anforderungen erfüllen. Fehlende vertragliche Absicherung erhöht das Haftungsrisiko.</w:t>
      </w:r>
    </w:p>
    <w:p>
      <w:pPr>
        <w:jc w:val="left"/>
      </w:pPr>
      <w:r>
        <w:rPr>
          <w:b/>
        </w:rPr>
        <w:t>Empfehlung:</w:t>
      </w:r>
      <w:r>
        <w:t xml:space="preserve"> Alle Vendor-Verträge bis 30.06.2026 um KI-VO-Klauseln ergänzen (Nachtragsvereinbarung). Dabei insbesondere: Bias-Test-Pflicht, techn. Dokumentations-SLA, Incident-Meldepflicht 24h, Konformitätserklärung-Pflicht vor Inbetriebnahme neuer Modellversionen.</w:t>
      </w:r>
    </w:p>
    <w:p/>
    <w:p>
      <w:pPr>
        <w:pStyle w:val="Heading3"/>
      </w:pPr>
      <w:r>
        <w:rPr>
          <w:rFonts w:ascii="Times New Roman" w:hAnsi="Times New Roman"/>
        </w:rPr>
        <w:t>Feststellung R-004 — Fehlende SOP für menschliche Aufsicht RecruitAI (MITTEL)</w:t>
      </w:r>
    </w:p>
    <w:p>
      <w:pPr>
        <w:jc w:val="left"/>
      </w:pPr>
      <w:r>
        <w:rPr>
          <w:b/>
        </w:rPr>
        <w:t>Sachverhalt:</w:t>
      </w:r>
      <w:r>
        <w:t xml:space="preserve"> Es gibt keine schriftlich dokumentierte SOP (Standard Operating Procedure) für HR-Business-Partner, wann und wie sie RecruitAI-Empfehlungen überstimmen sollen. Schulungsmaterial ist vorhanden, aber kein verbindliches Protokollierungsverfahren für Override-Entscheidungen.</w:t>
      </w:r>
    </w:p>
    <w:p>
      <w:pPr>
        <w:jc w:val="left"/>
      </w:pPr>
      <w:r>
        <w:rPr>
          <w:b/>
        </w:rPr>
        <w:t>Empfehlung:</w:t>
      </w:r>
      <w:r>
        <w:t xml:space="preserve"> SOP bis 30.04.2026 erstellen und in LMS einbinden. Jede Override-Entscheidung in SAP SuccessFactors dokumentieren.</w:t>
      </w:r>
    </w:p>
    <w:p/>
    <w:p>
      <w:pPr>
        <w:pStyle w:val="Heading3"/>
      </w:pPr>
      <w:r>
        <w:rPr>
          <w:rFonts w:ascii="Times New Roman" w:hAnsi="Times New Roman"/>
        </w:rPr>
        <w:t>Feststellung R-005 — KI-Inventar unvollständig (NIEDRIG)</w:t>
      </w:r>
    </w:p>
    <w:p>
      <w:pPr>
        <w:jc w:val="left"/>
      </w:pPr>
      <w:r>
        <w:rPr>
          <w:b/>
        </w:rPr>
        <w:t>Sachverhalt:</w:t>
      </w:r>
      <w:r>
        <w:t xml:space="preserve"> Das KI-Inventar enthält 23 Systeme. Im Rahmen der Bereichsbefragung im April 2026 wurden weitere 4 Systeme gemeldet, die noch nicht eingetragen waren (darunter 1 weiteres Marketing-Tool, 2 Analyse-Tools im Vertrieb, 1 KI-basierter Outlook-Assistent).</w:t>
      </w:r>
    </w:p>
    <w:p>
      <w:pPr>
        <w:jc w:val="left"/>
      </w:pPr>
      <w:r>
        <w:rPr>
          <w:b/>
        </w:rPr>
        <w:t>Empfehlung:</w:t>
      </w:r>
      <w:r>
        <w:t xml:space="preserve"> Inventar-Kampagne wiederholen. Bis 30.06.2026 alle Meldungen verarbeiten und Inventar abschließen.</w:t>
      </w:r>
    </w:p>
    <w:p/>
    <w:p>
      <w:pPr>
        <w:pStyle w:val="Heading2"/>
      </w:pPr>
      <w:r>
        <w:rPr>
          <w:rFonts w:ascii="Times New Roman" w:hAnsi="Times New Roman"/>
        </w:rPr>
        <w:t>3. Bewertungsübersicht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Feststellung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Kritikalität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 (April 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R-001 Schatten-KI Marketing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Abgeschaltet; Aufarbeitung läuft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R-002 AI-Literacy-Rückstand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Maßnahmenpaket verabschiedet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31.10.2026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R-003 Vendor-Vertragsrevision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Vorbereitung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R-004 SOP menschliche Aufsicht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Erarbeitung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R-005 KI-Inventar unvollständig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Kampagne geplant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Managementreaktion</w:t>
      </w:r>
    </w:p>
    <w:p>
      <w:pPr>
        <w:jc w:val="left"/>
      </w:pPr>
      <w:r>
        <w:t>CCO Kühnhausen hat den Bericht am 28.04.2026 entgegengenommen und alle Empfehlungen akzeptiert. Die Konzernrevision wird den Umsetzungsstand der Maßnahmen im Rahmen der nächsten Routineprüfung (Q3 2026) nachverfolgen.</w:t>
      </w:r>
    </w:p>
    <w:p/>
    <w:p>
      <w:pPr>
        <w:jc w:val="left"/>
      </w:pPr>
      <w:r>
        <w:rPr>
          <w:i/>
        </w:rPr>
        <w:t>Revisionsbericht R-2026-005. Aktenzeichen: TI-KI-2026-016. Leiter Konzernrevision: Franz-Josef Brammer. 02.05.2026.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Leiter Konzernrevision Thalheim Industries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Leiter Konzernrevision Thalheim Industries SE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 · Aktenzeichen: TI-KI-2026-016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