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Abmahnung mit Unterlassungs- und Beseitigungsverlangen — Deepfake-Videos „hb_kandidat"</w:t>
      </w:r>
    </w:p>
    <w:p>
      <w:pPr>
        <w:jc w:val="left"/>
      </w:pPr>
      <w:r>
        <w:rPr>
          <w:b/>
        </w:rPr>
        <w:t>Stollberg &amp; Wentzien Rechtsanwältinnen PartG mbB</w:t>
      </w:r>
    </w:p>
    <w:p>
      <w:pPr>
        <w:jc w:val="left"/>
      </w:pPr>
      <w:r>
        <w:t>Fasanenstraße 62, 10719 Berlin</w:t>
      </w:r>
    </w:p>
    <w:p>
      <w:pPr>
        <w:jc w:val="left"/>
      </w:pPr>
      <w:r>
        <w:t>Telefon: 030 887099-0 | E-Mail: kanzlei@stollberg-wentzien.de</w:t>
      </w:r>
    </w:p>
    <w:p>
      <w:pPr>
        <w:jc w:val="left"/>
      </w:pPr>
      <w:r>
        <w:t>Per Einschreiben/Rückschein und vorab per E-Mail</w:t>
      </w:r>
    </w:p>
    <w:p>
      <w:pPr>
        <w:jc w:val="left"/>
      </w:pPr>
      <w:r>
        <w:t>An den</w:t>
      </w:r>
    </w:p>
    <w:p>
      <w:pPr>
        <w:jc w:val="left"/>
      </w:pPr>
      <w:r>
        <w:t>Bürgerforum Stadtwende e. V., vertreten durch die Vorsitzende Frau Corinna Lautenschläger, Mühlentorstraße 9, 14913 Havelbrück</w:t>
      </w:r>
    </w:p>
    <w:p>
      <w:pPr>
        <w:jc w:val="left"/>
      </w:pPr>
      <w:r>
        <w:t>sowie an die</w:t>
      </w:r>
    </w:p>
    <w:p>
      <w:pPr>
        <w:jc w:val="left"/>
      </w:pPr>
      <w:r>
        <w:t>Spreekontor Kommunikation GmbH, vertreten durch den Geschäftsführer Herrn Milan Drewitz, Köpenicker Straße 48, 10179 Berlin</w:t>
      </w:r>
    </w:p>
    <w:p>
      <w:pPr>
        <w:jc w:val="left"/>
      </w:pPr>
      <w:r>
        <w:t>Unser Zeichen: 114/26 St</w:t>
      </w:r>
    </w:p>
    <w:p>
      <w:pPr>
        <w:jc w:val="left"/>
      </w:pPr>
      <w:r>
        <w:t>Berlin, 10.06.2026</w:t>
      </w:r>
    </w:p>
    <w:p>
      <w:pPr>
        <w:jc w:val="left"/>
      </w:pPr>
      <w:r>
        <w:rPr>
          <w:b/>
        </w:rPr>
        <w:t>Betreff: Fotorealistische KI-Videos zulasten unseres Mandanten Dr. Steffen Rahnsdorf — Abmahnung, Unterlassungs-, Beseitigungs- und Auskunftsverlangen mit Frist bis 13.06.2026, 12:00 Uhr</w:t>
      </w:r>
    </w:p>
    <w:p>
      <w:pPr>
        <w:jc w:val="left"/>
      </w:pPr>
      <w:r>
        <w:t>Sehr geehrte Frau Lautenschläger, sehr geehrter Herr Drewitz,</w:t>
      </w:r>
    </w:p>
    <w:p>
      <w:pPr>
        <w:jc w:val="left"/>
      </w:pPr>
      <w:r>
        <w:t>wir zeigen an, dass wir Herrn Dr. Steffen Rahnsdorf, Kandidat für das Amt des Oberbürgermeisters der Stadt Havelbrück, anwaltlich vertreten. Auf ordnungsgemäße Bevollmächtigung wird hingewiesen; eine Vollmacht liegt in Kopie bei.</w:t>
      </w:r>
    </w:p>
    <w:p>
      <w:pPr>
        <w:jc w:val="left"/>
      </w:pPr>
      <w:r>
        <w:t>Am 05.06.2026 wurde über das Klipstream-Konto „@stadtwende_hb" und ab dem 06.06.2026 über das EchoFeed-Konto „buergerforum.stadtwende" ein fotorealistisches Video verbreitet, das unseren Mandanten überfordert wirkend vor einer Baustelle zeigt; am 07.06.2026 folgte ein zweites Video, das ihm die frei erfundene Äußerung „Wer hier geboren ist, hat bei mir Vorrang, das sage ich nur hinter verschlossenen Türen" wörtlich in den Mund legt. Beide Videos sind — wie wir durch anwaltlichen Dokumentationsvermerk und forensische Sicherung belegt haben — vollständig künstlich erzeugt. Unser Mandant hat die dargestellten Szenen nie erlebt und die Äußerungen nie getätigt. Eine Kennzeichnung als künstlich erzeugter Inhalt fehlte bei Veröffentlichung vollständig; die Kommentarverläufe zeigen, dass die Aufnahmen als echt wahrgenommen wurden. Der Konto-Inhaber ist der abgemahnte Verein; die Produktion erfolgte nach unseren Erkenntnissen durch die mitabgemahnte Agentur im Auftrag des Vereins.</w:t>
      </w:r>
    </w:p>
    <w:p>
      <w:pPr>
        <w:jc w:val="left"/>
      </w:pPr>
      <w:r>
        <w:t>Die Verbreitung verletzt unseren Mandanten in seinem allgemeinen Persönlichkeitsrecht, namentlich in seinem Recht am eigenen Bild und an der eigenen Stimme sowie in seinem Recht, nicht mit nie getätigten Äußerungen zitiert zu werden (§§ 823, 1004 BGB analog; §§ 22, 23 KUG). Die untergeschobene Äußerung ist zugleich geeignet, ihn im Wahlkampf verächtlich zu machen. Auf die Transparenzpflichten für Deepfakes nach der Verordnung (EU) 2024/1689, deren Verletzung wir der zuständigen Marktüberwachungsbehörde gesondert anzeigen werden, weisen wir hin; die zivilrechtlichen Ansprüche bestehen unabhängig davon [Normstand zu verifizieren]. Der nachträglich am 09.06.2026 angefügte Beschreibungszusatz „Satire." beseitigt weder die Erstbegehungsgefahr noch die fortdauernde Täuschungseignung; er ist im Videobild nicht wahrnehmbar und erreicht die bereits getäuschten Betrachter nicht.</w:t>
      </w:r>
    </w:p>
    <w:p>
      <w:pPr>
        <w:jc w:val="left"/>
      </w:pPr>
      <w:r>
        <w:t xml:space="preserve">Namens und in Vollmacht unseres Mandanten fordern wir Sie auf, bis </w:t>
      </w:r>
      <w:r>
        <w:rPr>
          <w:b/>
        </w:rPr>
        <w:t>Samstag, den 13.06.2026, 12:00 Uhr</w:t>
      </w:r>
      <w:r>
        <w:t>, bei uns eingehend:</w:t>
      </w:r>
    </w:p>
    <w:p>
      <w:pPr>
        <w:jc w:val="left"/>
      </w:pPr>
      <w:r>
        <w:t>Erstens: die beigefügte, strafbewehrte Unterlassungs- und Verpflichtungserklärung abzugeben, wonach Sie es bei Meidung einer für jeden Fall der Zuwiderhandlung fälligen, von uns nach billigem Ermessen festzusetzenden und gerichtlich überprüfbaren Vertragsstrafe unterlassen, die bezeichneten Videos oder kerngleiche künstlich erzeugte Darstellungen unseres Mandanten zu verbreiten oder verbreiten zu lassen;</w:t>
      </w:r>
    </w:p>
    <w:p>
      <w:pPr>
        <w:jc w:val="left"/>
      </w:pPr>
      <w:r>
        <w:t>Zweitens: sämtliche Kopien der Videos von allen von Ihnen kontrollierten Konten und Speicherorten zu entfernen und die Entfernung uns gegenüber zu dokumentieren;</w:t>
      </w:r>
    </w:p>
    <w:p>
      <w:pPr>
        <w:jc w:val="left"/>
      </w:pPr>
      <w:r>
        <w:t>Drittens: Auskunft zu erteilen über die an Herstellung und Verbreitung Beteiligten, die verwendeten Werkzeuge und Dienstleister, sämtliche Veröffentlichungsorte sowie die erzielten Reichweiten;</w:t>
      </w:r>
    </w:p>
    <w:p>
      <w:pPr>
        <w:jc w:val="left"/>
      </w:pPr>
      <w:r>
        <w:t>Viertens: die durch unsere Inanspruchnahme entstandenen Rechtsverfolgungskosten aus einem Gegenstandswert von 120.000,00 EUR zu erstatten.</w:t>
      </w:r>
    </w:p>
    <w:p>
      <w:pPr>
        <w:jc w:val="left"/>
      </w:pPr>
      <w:r>
        <w:t>Für den Fall des fruchtlosen Fristablaufs sind wir beauftragt, ohne weitere Ankündigung den Erlass einer einstweiligen Verfügung zu beantragen sowie Schadensersatz- und Geldentschädigungsansprüche geltend zu machen. Die Strafanzeige wegen des Verdachts der Verleumdung gegen die Verantwortlichen sowie die Beschwerde an die Marktüberwachungsbehörde behalten wir uns ausdrücklich vor.</w:t>
      </w:r>
    </w:p>
    <w:p>
      <w:pPr>
        <w:jc w:val="left"/>
      </w:pPr>
      <w:r>
        <w:t>Mit freundlichen Grüßen</w:t>
      </w:r>
    </w:p>
    <w:p>
      <w:pPr>
        <w:jc w:val="left"/>
      </w:pPr>
      <w:r>
        <w:t>Dr. Friederike Stollberg</w:t>
      </w:r>
    </w:p>
    <w:p>
      <w:pPr>
        <w:jc w:val="left"/>
      </w:pPr>
      <w:r>
        <w:t>Rechtsanwältin</w:t>
      </w:r>
    </w:p>
    <w:p>
      <w:pPr>
        <w:jc w:val="left"/>
      </w:pPr>
      <w:r>
        <w:t>Anlagen: Vollmacht (Kopie); vorformulierte Unterlassungs- und Verpflichtungserklärung; Dokumentationsvermerk vom 08.06.2026 (Auszug)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Stollberg &amp; Wentzien Rechtsanwältinnen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STOLLBERG &amp; WENTZIEN RECHTSANWÄLTINNEN PARTG MBB</w:t>
    </w:r>
  </w:p>
  <w:p>
    <w:pPr>
      <w:jc w:val="left"/>
      <w:pBdr>
        <w:bottom w:val="single" w:sz="8" w:space="2" w:color="7B2D3B"/>
      </w:pBdr>
    </w:pPr>
    <w:r>
      <w:rPr>
        <w:rFonts w:ascii="Times New Roman" w:hAnsi="Times New Roman"/>
        <w:color w:val="6B6B66"/>
        <w:sz w:val="16"/>
      </w:rPr>
      <w:t>Rechtsanwaltskanzlei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