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Herkunftsvermerk zu den Trainingsdaten der Objekterkennung (Firmware 4.2)</w:t>
      </w:r>
    </w:p>
    <w:p>
      <w:pPr>
        <w:jc w:val="left"/>
      </w:pPr>
      <w:r>
        <w:t>AutoMove Robotics GmbH — Entwicklung / Datenschutzkoordination</w:t>
      </w:r>
    </w:p>
    <w:p>
      <w:pPr>
        <w:jc w:val="left"/>
      </w:pPr>
      <w:r>
        <w:t>Jülicher Straße 210, 52070 Aachen</w:t>
      </w:r>
    </w:p>
    <w:p>
      <w:pPr>
        <w:jc w:val="left"/>
      </w:pPr>
      <w:r>
        <w:t>Telefon: 0241 56088-0 | E-Mail: datenschutz@automove-robotics.de</w:t>
      </w:r>
    </w:p>
    <w:p>
      <w:pPr>
        <w:jc w:val="left"/>
      </w:pPr>
      <w:r>
        <w:t>Dokument-ID: AMR-TD-HERK-2026-02 | Stand: 27.06.2026 | Verfasser: Lennart Brinkschulte (Field Service) und Datenschutzkoordination</w:t>
      </w:r>
    </w:p>
    <w:p>
      <w:pPr>
        <w:pStyle w:val="Heading2"/>
      </w:pPr>
      <w:r>
        <w:rPr>
          <w:rFonts w:ascii="Times New Roman" w:hAnsi="Times New Roman"/>
        </w:rPr>
        <w:t>1 Anlass</w:t>
      </w:r>
    </w:p>
    <w:p>
      <w:pPr>
        <w:jc w:val="left"/>
      </w:pPr>
      <w:r>
        <w:t>Im Zuge der Aufklärung des Unfalls vom 24.06.2026 wurde die Herkunft der Trainingsdaten für das mit Firmware 4.2 eingeführte Objekterkennungsmodell überprüft. Dieser Vermerk hält das Ergebnis fest.</w:t>
      </w:r>
    </w:p>
    <w:p>
      <w:pPr>
        <w:pStyle w:val="Heading2"/>
      </w:pPr>
      <w:r>
        <w:rPr>
          <w:rFonts w:ascii="Times New Roman" w:hAnsi="Times New Roman"/>
        </w:rPr>
        <w:t>2 Feststellung zur Datenherkunft</w:t>
      </w:r>
    </w:p>
    <w:p>
      <w:pPr>
        <w:pStyle w:val="Heading3"/>
      </w:pPr>
      <w:r>
        <w:rPr>
          <w:rFonts w:ascii="Times New Roman" w:hAnsi="Times New Roman"/>
        </w:rPr>
        <w:t>2.1 Verwendete Daten</w:t>
      </w:r>
    </w:p>
    <w:p>
      <w:pPr>
        <w:jc w:val="left"/>
      </w:pPr>
      <w:r>
        <w:t>Das Modell wurde unter anderem mit Bewegungs- und Positionsdaten von Beschäftigten trainiert, die in den Jahren 2023 und 2024 in einem Logistikzentrum eines anderen Kunden (Projekt „Halle West") über die dort installierten Sensoren und Kameras aufgezeichnet wurden. Die Daten umfassen Laufwege, Aufenthaltszeiten und Positionsverläufe einzelner, teilweise über Kennungen unterscheidbarer Personen.</w:t>
      </w:r>
    </w:p>
    <w:p>
      <w:pPr>
        <w:pStyle w:val="Heading3"/>
      </w:pPr>
      <w:r>
        <w:rPr>
          <w:rFonts w:ascii="Times New Roman" w:hAnsi="Times New Roman"/>
        </w:rPr>
        <w:t>2.2 Rechtsgrundlage</w:t>
      </w:r>
    </w:p>
    <w:p>
      <w:pPr>
        <w:jc w:val="left"/>
      </w:pPr>
      <w:r>
        <w:t>Eine tragfähige Rechtsgrundlage für die Weiterverwendung dieser Beschäftigtendaten zu Trainingszwecken ist nicht dokumentiert. Eine Einwilligung der betroffenen Beschäftigten liegt nicht vor. Der ursprüngliche Erhebungszweck (betrieblicher Testbetrieb beim Kunden „Halle West") deckt die Verwendung als Trainingsdaten für ein Produktmodell nicht ab. Eine Anonymisierung vor der Verwendung ist nicht belegt; die Positionsverläufe lassen einen Personenbezug jedenfalls teilweise zu.</w:t>
      </w:r>
    </w:p>
    <w:p>
      <w:pPr>
        <w:pStyle w:val="Heading2"/>
      </w:pPr>
      <w:r>
        <w:rPr>
          <w:rFonts w:ascii="Times New Roman" w:hAnsi="Times New Roman"/>
        </w:rPr>
        <w:t>3 Bewertung</w:t>
      </w:r>
    </w:p>
    <w:p>
      <w:pPr>
        <w:jc w:val="left"/>
      </w:pPr>
      <w:r>
        <w:t>Die Verwendung der Beschäftigten-Bewegungsdaten erfolgte damit ohne erkennbare Rechtsgrundlage und unter Verstoß gegen die Grundsätze der Zweckbindung und der Rechtmäßigkeit der Verarbeitung. Es liegt der Verdacht einer unrechtmäßigen Verarbeitung personenbezogener Daten vor.</w:t>
      </w:r>
    </w:p>
    <w:p>
      <w:pPr>
        <w:pStyle w:val="Heading2"/>
      </w:pPr>
      <w:r>
        <w:rPr>
          <w:rFonts w:ascii="Times New Roman" w:hAnsi="Times New Roman"/>
        </w:rPr>
        <w:t>4 Zusammenhang mit dem Unfall</w:t>
      </w:r>
    </w:p>
    <w:p>
      <w:pPr>
        <w:jc w:val="left"/>
      </w:pPr>
      <w:r>
        <w:t>Ob und in welchem Umfang die Datenherkunft die Zuverlässigkeit der Objekterkennung und damit den Fehlercode E-SNS-311 beeinflusst hat, ist technisch noch nicht abschließend geklärt. Unabhängig davon besteht der datenschutzrechtliche Verstoß eigenständig.</w:t>
      </w:r>
    </w:p>
    <w:p>
      <w:pPr>
        <w:pStyle w:val="Heading2"/>
      </w:pPr>
      <w:r>
        <w:rPr>
          <w:rFonts w:ascii="Times New Roman" w:hAnsi="Times New Roman"/>
        </w:rPr>
        <w:t>5 Veranlassung</w:t>
      </w:r>
    </w:p>
    <w:p>
      <w:pPr>
        <w:jc w:val="left"/>
      </w:pPr>
      <w:r>
        <w:t>Der Vorgang wird der Geschäftsführung und der zuständigen Datenschutzaufsichtsbehörde zur Kenntnis gebracht. Eine Meldung ist vorzubereiten (siehe Aktenstück 07).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AutoMove Robotics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AutoMove Robotics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