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SentiCore Analytics GmbH im Verfahren KI-MÜ-2026/0147</w:t>
      </w:r>
    </w:p>
    <w:p>
      <w:pPr>
        <w:jc w:val="left"/>
      </w:pPr>
      <w:r>
        <w:rPr>
          <w:b/>
        </w:rPr>
        <w:t>SentiCore Analytics GmbH</w:t>
      </w:r>
    </w:p>
    <w:p>
      <w:pPr>
        <w:jc w:val="left"/>
      </w:pPr>
      <w:r>
        <w:t>Rödingsmarkt 22, 20459 Hamburg</w:t>
      </w:r>
    </w:p>
    <w:p>
      <w:pPr>
        <w:jc w:val="left"/>
      </w:pPr>
      <w:r>
        <w:t>Telefon: 040 60559-0 | E-Mail: legal@senticore-analytics.de</w:t>
      </w:r>
    </w:p>
    <w:p>
      <w:pPr>
        <w:jc w:val="left"/>
      </w:pPr>
      <w:r>
        <w:t>Geschäftsführerin: Dr. Katrin Ellwanger | Amtsgericht Hamburg, HRB 178443</w:t>
      </w:r>
    </w:p>
    <w:p>
      <w:pPr>
        <w:jc w:val="left"/>
      </w:pPr>
      <w:r>
        <w:t>An die</w:t>
      </w:r>
    </w:p>
    <w:p>
      <w:pPr>
        <w:jc w:val="left"/>
      </w:pPr>
      <w:r>
        <w:t>Bundesnetzagentur</w:t>
      </w:r>
    </w:p>
    <w:p>
      <w:pPr>
        <w:jc w:val="left"/>
      </w:pPr>
      <w:r>
        <w:t>Referat Marktüberwachung KI-Systeme</w:t>
      </w:r>
    </w:p>
    <w:p>
      <w:pPr>
        <w:jc w:val="left"/>
      </w:pPr>
      <w:r>
        <w:t>z. Hd. Frau RD'in Dr. Vahrenkamp</w:t>
      </w:r>
    </w:p>
    <w:p>
      <w:pPr>
        <w:jc w:val="left"/>
      </w:pPr>
      <w:r>
        <w:t>Tulpenfeld 4</w:t>
      </w:r>
    </w:p>
    <w:p>
      <w:pPr>
        <w:jc w:val="left"/>
      </w:pPr>
      <w:r>
        <w:t>53113 Bonn</w:t>
      </w:r>
    </w:p>
    <w:p>
      <w:pPr>
        <w:jc w:val="left"/>
      </w:pPr>
      <w:r>
        <w:t>Ihr Zeichen: KI-MÜ-2026/0147 | Unser Zeichen: SC-REG-2026-011</w:t>
      </w:r>
    </w:p>
    <w:p>
      <w:pPr>
        <w:jc w:val="left"/>
      </w:pPr>
      <w:r>
        <w:t>Hamburg, 27.03.2026</w:t>
      </w:r>
    </w:p>
    <w:p>
      <w:pPr>
        <w:jc w:val="left"/>
      </w:pPr>
      <w:r>
        <w:rPr>
          <w:b/>
        </w:rPr>
        <w:t>Betreff: Ihr Auskunfts- und Unterlagenverlangen vom 03.03.2026 — Stellungnahme der Anbieterin</w:t>
      </w:r>
    </w:p>
    <w:p>
      <w:pPr>
        <w:jc w:val="left"/>
      </w:pPr>
      <w:r>
        <w:t>Sehr geehrte Frau Dr. Vahrenkamp,</w:t>
      </w:r>
    </w:p>
    <w:p>
      <w:pPr>
        <w:jc w:val="left"/>
      </w:pPr>
      <w:r>
        <w:t>wir beantworten Ihr Auskunftsverlangen fristgerecht wie folgt.</w:t>
      </w:r>
    </w:p>
    <w:p>
      <w:pPr>
        <w:jc w:val="left"/>
      </w:pPr>
      <w:r>
        <w:t>Zur Zweckbestimmung (Frage 1): „VoiceMood Sentinel" (bei der Telavena Dialog GmbH eingesetzt in Version 2.4) ist nach unserer Produktdokumentation ein „Wellbeing- und Arbeitsschutz-Assistenzsystem". Zweck ist die Früherkennung akuter stimmlicher Belastungsindikatoren, um Überlastung, stressbedingten Erkrankungen und eskalierenden Kundengesprächen vorzubeugen. Die Produktdokumentation (Auszug in der Anlage) stellt ausdrücklich klar, dass das System „kein Instrument der Leistungs- oder Verhaltenskontrolle" ist. Die Vertragsunterlagen legen wir vor; hinsichtlich der Vertriebsunterlagen verweisen wir auf die Telavena Dialog GmbH, da uns nicht alle kundenseitig archivierten Fassungen vorliegen.</w:t>
      </w:r>
    </w:p>
    <w:p>
      <w:pPr>
        <w:jc w:val="left"/>
      </w:pPr>
      <w:r>
        <w:t>Zur Funktionsweise (Frage 2): Das System berechnet aus prosodischen Stimmmerkmalen (Tonhöhe, Sprechtempo, Lautstärkedynamik) Wahrscheinlichkeitswerte für Belastungskategorien („Stress hoch", „Ärger", „Frustration", „Erschöpfung", „Monotonie", „Anspannung") und erzeugt bei Schwellenwertüberschreitung einen Alert. Wir stellen nicht in Abrede, dass es sich technisch um die Ableitung emotionaler Zustände aus biometrischen Stimmdaten handelt. Die Alerts werden in der Standardkonfiguration dem Dashboard der Teamleitung zugestellt, damit diese „Fürsorgemaßnahmen" ergreifen kann.</w:t>
      </w:r>
    </w:p>
    <w:p>
      <w:pPr>
        <w:jc w:val="left"/>
      </w:pPr>
      <w:r>
        <w:t>Zur Ausnahme (Frage 3): Wir berufen uns darauf, dass das System aus medizinischen Gründen und aus Gründen des Gesundheitsschutzes eingesetzt wird, nämlich zur Verhütung arbeitsbedingter psychischer Überlastung; diese Zweckrichtung fällt nach unserer Auffassung unter die Ausnahme der Verordnung (EU) 2024/1689 für medizinische und Sicherheitszwecke [Normstand zu verifizieren]. Die Umsetzung der Fürsorgemaßnahmen liegt in der Verantwortung der Betreiberin; unsere Einführungsdokumentation empfiehlt die Einbindung des betriebsärztlichen Dienstes. Ob und wie die Telavena Dialog GmbH diese Empfehlung umgesetzt hat, entzieht sich unserer Kenntnis.</w:t>
      </w:r>
    </w:p>
    <w:p>
      <w:pPr>
        <w:jc w:val="left"/>
      </w:pPr>
      <w:r>
        <w:t>Zu den Protokollen (Frage 4): Das Alert-Protokoll seit Inbetriebnahme übermitteln wir als CSV-Export. Die Maßnahmen-Dokumentation der Teamleitungen ist kein Bestandteil unseres Systems; insoweit verweisen wir auf die Betreiberin.</w:t>
      </w:r>
    </w:p>
    <w:p>
      <w:pPr>
        <w:jc w:val="left"/>
      </w:pPr>
      <w:r>
        <w:t>Zur Rollenverteilung (Frage 5): Die Betreiberin hat die Standardkonfiguration übernommen und die Alert-Zustellung an die Teamleitungen aktiviert; die alternative Konfiguration „Self-Coaching" (Alert nur an die betroffene Person) wurde nicht gewählt. Eine Änderung der Zweckbestimmung durch uns liegt nicht vor.</w:t>
      </w:r>
    </w:p>
    <w:p>
      <w:pPr>
        <w:jc w:val="left"/>
      </w:pPr>
      <w:r>
        <w:t>Wir sind überzeugt, dass „VoiceMood Sentinel" bei bestimmungsgemäßer Verwendung keine verbotene Praktik darstellt, und stehen für eine Erörterung zur Verfügung. Rein vorsorglich weisen wir darauf hin, dass wir für den Fall einer abweichenden Bewertung die Verhältnismäßigkeit einer Untersagung in Frage stellen und mildere Mittel (Konfigurationsauflagen) für ausreichend halten.</w:t>
      </w:r>
    </w:p>
    <w:p>
      <w:pPr>
        <w:jc w:val="left"/>
      </w:pPr>
      <w:r>
        <w:t>Mit freundlichen Grüßen</w:t>
      </w:r>
    </w:p>
    <w:p>
      <w:pPr>
        <w:jc w:val="left"/>
      </w:pPr>
      <w:r>
        <w:t>Dr. Katrin Ellwanger</w:t>
      </w:r>
    </w:p>
    <w:p>
      <w:pPr>
        <w:jc w:val="left"/>
      </w:pPr>
      <w:r>
        <w:t>Geschäftsführerin</w:t>
      </w:r>
    </w:p>
    <w:p>
      <w:pPr>
        <w:jc w:val="left"/>
      </w:pPr>
      <w:r>
        <w:t>Anlagen: Produktdokumentation V 2.4 (Auszug); Rahmenvertrag vom 08.09.2025; Alert-Protokoll (CSV); Einführungsleitfaden „Wellbeing Rollout"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SentiCore Analytics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SentiCore Analytics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