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Produktdokumentation „VoiceMood Sentinel" Version 2.4 — Auszug</w:t>
      </w:r>
    </w:p>
    <w:p>
      <w:pPr>
        <w:jc w:val="left"/>
      </w:pPr>
      <w:r>
        <w:rPr>
          <w:b/>
        </w:rPr>
        <w:t>SentiCore Analytics GmbH</w:t>
      </w:r>
    </w:p>
    <w:p>
      <w:pPr>
        <w:jc w:val="left"/>
      </w:pPr>
      <w:r>
        <w:t>Rödingsmarkt 22, 20459 Hamburg</w:t>
      </w:r>
    </w:p>
    <w:p>
      <w:pPr>
        <w:jc w:val="left"/>
      </w:pPr>
      <w:r>
        <w:t>Dokument: PD-VMS-2.4-DE | Stand: August 2025 | Auszug der Abschnitte 1, 3 und 7</w:t>
      </w:r>
    </w:p>
    <w:p>
      <w:pPr>
        <w:jc w:val="left"/>
      </w:pPr>
      <w:r>
        <w:t>Vorgelegt im Verfahren KI-MÜ-2026/0147 als Anlage zur Stellungnahme vom 27.03.2026</w:t>
      </w:r>
    </w:p>
    <w:p>
      <w:pPr>
        <w:jc w:val="left"/>
      </w:pPr>
      <w:r>
        <w:rPr>
          <w:i/>
        </w:rPr>
        <w:t>Exporthinweis: Endausgabe in Times New Roman, 11 pt, dezimale Gliederung.</w:t>
      </w:r>
    </w:p>
    <w:p>
      <w:pPr>
        <w:pStyle w:val="Heading2"/>
      </w:pPr>
      <w:r>
        <w:rPr>
          <w:rFonts w:ascii="Times New Roman" w:hAnsi="Times New Roman"/>
        </w:rPr>
        <w:t>1 Zweckbestimmung</w:t>
      </w:r>
    </w:p>
    <w:p>
      <w:pPr>
        <w:pStyle w:val="Heading3"/>
      </w:pPr>
      <w:r>
        <w:rPr>
          <w:rFonts w:ascii="Times New Roman" w:hAnsi="Times New Roman"/>
        </w:rPr>
        <w:t>1.1 Produktbeschreibung</w:t>
      </w:r>
    </w:p>
    <w:p>
      <w:pPr>
        <w:jc w:val="left"/>
      </w:pPr>
      <w:r>
        <w:t>VoiceMood Sentinel ist ein Echtzeit-Assistenzsystem für Contact Center. Es analysiert prosodische Merkmale der Agentenstimme (Tonhöhe, Sprechtempo, Lautstärkedynamik, Pausenstruktur) und berechnet Wahrscheinlichkeitswerte für Belastungskategorien. Bei Überschreitung konfigurierbarer Schwellenwerte erzeugt das System einen Coaching-Alert.</w:t>
      </w:r>
    </w:p>
    <w:p>
      <w:pPr>
        <w:pStyle w:val="Heading3"/>
      </w:pPr>
      <w:r>
        <w:rPr>
          <w:rFonts w:ascii="Times New Roman" w:hAnsi="Times New Roman"/>
        </w:rPr>
        <w:t>1.2 Zweckbindung</w:t>
      </w:r>
    </w:p>
    <w:p>
      <w:pPr>
        <w:jc w:val="left"/>
      </w:pPr>
      <w:r>
        <w:t xml:space="preserve">VoiceMood Sentinel ist ein </w:t>
      </w:r>
      <w:r>
        <w:rPr>
          <w:b/>
        </w:rPr>
        <w:t>Wellbeing- und Arbeitsschutz-Feature</w:t>
      </w:r>
      <w:r>
        <w:t xml:space="preserve">. Es dient der Früherkennung akuter stimmlicher Belastung, der Prävention stressbedingter Erkrankungen und der Deeskalation belastender Kundengespräche. </w:t>
      </w:r>
      <w:r>
        <w:rPr>
          <w:b/>
        </w:rPr>
        <w:t>Das System ist kein Instrument der Leistungs- oder Verhaltenskontrolle und darf nicht zur Bewertung, zum Vergleich oder zur Sanktionierung von Beschäftigten verwendet werden.</w:t>
      </w:r>
      <w:r>
        <w:t xml:space="preserve"> Der Einsatz zu anderen als den hier beschriebenen Zwecken ist eine bestimmungswidrige Verwendung.</w:t>
      </w:r>
    </w:p>
    <w:p>
      <w:pPr>
        <w:pStyle w:val="Heading3"/>
      </w:pPr>
      <w:r>
        <w:rPr>
          <w:rFonts w:ascii="Times New Roman" w:hAnsi="Times New Roman"/>
        </w:rPr>
        <w:t>1.3 Rechtlicher Hinweis</w:t>
      </w:r>
    </w:p>
    <w:p>
      <w:pPr>
        <w:jc w:val="left"/>
      </w:pPr>
      <w:r>
        <w:t>Die Ableitung emotionaler Zustände von Beschäftigten unterliegt in der Europäischen Union engen Grenzen (Verordnung (EU) 2024/1689; Beschäftigtendatenschutz). Der Kunde ist verpflichtet, vor Inbetriebnahme die Zulässigkeit des konkreten Einsatzes zu prüfen und die Beschäftigtenvertretung einzubinden [Normstand zu verifizieren].</w:t>
      </w:r>
    </w:p>
    <w:p>
      <w:pPr>
        <w:pStyle w:val="Heading2"/>
      </w:pPr>
      <w:r>
        <w:rPr>
          <w:rFonts w:ascii="Times New Roman" w:hAnsi="Times New Roman"/>
        </w:rPr>
        <w:t>3 Konfigurationen der Alert-Zustellung</w:t>
      </w:r>
    </w:p>
    <w:p>
      <w:pPr>
        <w:pStyle w:val="Heading3"/>
      </w:pPr>
      <w:r>
        <w:rPr>
          <w:rFonts w:ascii="Times New Roman" w:hAnsi="Times New Roman"/>
        </w:rPr>
        <w:t>3.1 Konfiguration „Self-Coaching"</w:t>
      </w:r>
    </w:p>
    <w:p>
      <w:pPr>
        <w:jc w:val="left"/>
      </w:pPr>
      <w:r>
        <w:t xml:space="preserve">Der Alert wird ausschließlich der betroffenen Person im Agenten-Cockpit angezeigt, verbunden mit Entlastungsvorschlägen (Kurzpause, Atemübung, Gesprächsleitfaden). Es erfolgt keine Speicherung personenbeziehbarer Verlaufsdaten über 24 Stunden hinaus. Diese Konfiguration wird für den Regelbetrieb </w:t>
      </w:r>
      <w:r>
        <w:rPr>
          <w:b/>
        </w:rPr>
        <w:t>empfohlen</w:t>
      </w:r>
      <w:r>
        <w:t>.</w:t>
      </w:r>
    </w:p>
    <w:p>
      <w:pPr>
        <w:pStyle w:val="Heading3"/>
      </w:pPr>
      <w:r>
        <w:rPr>
          <w:rFonts w:ascii="Times New Roman" w:hAnsi="Times New Roman"/>
        </w:rPr>
        <w:t>3.2 Konfiguration „Team-Care"</w:t>
      </w:r>
    </w:p>
    <w:p>
      <w:pPr>
        <w:jc w:val="left"/>
      </w:pPr>
      <w:r>
        <w:t>Der Alert wird zusätzlich dem Dashboard der Teamleitung zugestellt, damit diese Fürsorgemaßnahmen (Ablösung aus dem Gespräch, Pausenangebot, Vermittlung an den betriebsärztlichen Dienst) ergreifen kann. Diese Konfiguration setzt nach dem Einführungsleitfaden voraus, dass der Kunde einen betriebsärztlichen Prozess einrichtet und die Teamleitungen zur ausschließlich fürsorglichen Verwendung schriftlich verpflichtet.</w:t>
      </w:r>
    </w:p>
    <w:p>
      <w:pPr>
        <w:pStyle w:val="Heading3"/>
      </w:pPr>
      <w:r>
        <w:rPr>
          <w:rFonts w:ascii="Times New Roman" w:hAnsi="Times New Roman"/>
        </w:rPr>
        <w:t>3.3 Protokollierung</w:t>
      </w:r>
    </w:p>
    <w:p>
      <w:pPr>
        <w:jc w:val="left"/>
      </w:pPr>
      <w:r>
        <w:t>Alle Alerts werden mit Zeitstempel, Agent-ID, Kategorie und Score protokolliert. Der Export erfolgt als CSV über das Admin-Portal.</w:t>
      </w:r>
    </w:p>
    <w:p>
      <w:pPr>
        <w:pStyle w:val="Heading2"/>
      </w:pPr>
      <w:r>
        <w:rPr>
          <w:rFonts w:ascii="Times New Roman" w:hAnsi="Times New Roman"/>
        </w:rPr>
        <w:t>7 Grenzen des Systems</w:t>
      </w:r>
    </w:p>
    <w:p>
      <w:pPr>
        <w:jc w:val="left"/>
      </w:pPr>
      <w:r>
        <w:t xml:space="preserve">Die ausgegebenen Kategorien sind Wahrscheinlichkeitswerte auf Basis stimmlicher Korrelate; sie sind </w:t>
      </w:r>
      <w:r>
        <w:rPr>
          <w:b/>
        </w:rPr>
        <w:t>keine medizinische Diagnose</w:t>
      </w:r>
      <w:r>
        <w:t xml:space="preserve"> und können durch Erkältungen, Dialekte, Mehrsprachigkeit und individuelle Sprechmuster verzerrt sein. Entscheidungen mit Rechtswirkung oder ähnlich erheblicher Beeinträchtigung dürfen auf die Systemausgaben nicht gestützt werden.</w:t>
      </w:r>
    </w:p>
    <w:p>
      <w:pPr>
        <w:jc w:val="left"/>
      </w:pPr>
      <w:r>
        <w:t>— Ende des Auszugs —</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SentiCore Analytics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SentiCore Analytics GmbH</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