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Interner Vermerk — Zuständigkeitsabgrenzung und Verfahrenskoordination mit der LDI NRW</w:t>
      </w:r>
    </w:p>
    <w:p>
      <w:pPr>
        <w:jc w:val="left"/>
      </w:pPr>
      <w:r>
        <w:rPr>
          <w:b/>
        </w:rPr>
        <w:t>Bundesnetzagentur für Elektrizität, Gas, Telekommunikation, Post und Eisenbahnen</w:t>
      </w:r>
    </w:p>
    <w:p>
      <w:pPr>
        <w:jc w:val="left"/>
      </w:pPr>
      <w:r>
        <w:t>Referat Marktüberwachung KI-Systeme</w:t>
      </w:r>
    </w:p>
    <w:p>
      <w:pPr>
        <w:jc w:val="left"/>
      </w:pPr>
      <w:r>
        <w:t>Tulpenfeld 4, 53113 Bonn</w:t>
      </w:r>
    </w:p>
    <w:p>
      <w:pPr>
        <w:jc w:val="left"/>
      </w:pPr>
      <w:r>
        <w:t>Aktenzeichen: KI-MÜ-2026/0147 | Verfasserin: RD'in Dr. Simone Vahrenkamp</w:t>
      </w:r>
    </w:p>
    <w:p>
      <w:pPr>
        <w:jc w:val="left"/>
      </w:pPr>
      <w:r>
        <w:t>Datum: 14.04.2026 | Nur für den Dienstgebrauch</w:t>
      </w:r>
    </w:p>
    <w:p>
      <w:pPr>
        <w:jc w:val="left"/>
      </w:pPr>
      <w:r>
        <w:rPr>
          <w:i/>
        </w:rPr>
        <w:t>Exporthinweis: Endausgabe in Times New Roman, 11 pt, dezimale Gliederung.</w:t>
      </w:r>
    </w:p>
    <w:p>
      <w:pPr>
        <w:pStyle w:val="Heading2"/>
      </w:pPr>
      <w:r>
        <w:rPr>
          <w:rFonts w:ascii="Times New Roman" w:hAnsi="Times New Roman"/>
        </w:rPr>
        <w:t>1 Anlass</w:t>
      </w:r>
    </w:p>
    <w:p>
      <w:pPr>
        <w:jc w:val="left"/>
      </w:pPr>
      <w:r>
        <w:t>Die Landesbeauftragte für Datenschutz und Informationsfreiheit Nordrhein-Westfalen (LDI NRW) hat mit E-Mail vom 09.04.2026 mitgeteilt, dass sie zu demselben Lebenssachverhalt (Stimmanalyse der Beschäftigten der Telavena Dialog GmbH) ein datenschutzrechtliches Prüfverfahren führt, und um Abstimmung gebeten. Dieser Vermerk hält die Abgrenzung und die vereinbarte Koordination fest.</w:t>
      </w:r>
    </w:p>
    <w:p>
      <w:pPr>
        <w:pStyle w:val="Heading2"/>
      </w:pPr>
      <w:r>
        <w:rPr>
          <w:rFonts w:ascii="Times New Roman" w:hAnsi="Times New Roman"/>
        </w:rPr>
        <w:t>2 Abgrenzung der Prüfgegenstände</w:t>
      </w:r>
    </w:p>
    <w:p>
      <w:pPr>
        <w:pStyle w:val="Heading3"/>
      </w:pPr>
      <w:r>
        <w:rPr>
          <w:rFonts w:ascii="Times New Roman" w:hAnsi="Times New Roman"/>
        </w:rPr>
        <w:t>2.1 Marktüberwachung nach der KI-Verordnung (Bundesnetzagentur)</w:t>
      </w:r>
    </w:p>
    <w:p>
      <w:pPr>
        <w:jc w:val="left"/>
      </w:pPr>
      <w:r>
        <w:t>Gegenstand unseres Verfahrens ist die produkt- und praktikenbezogene Ebene der Verordnung (EU) 2024/1689: ob das System „VoiceMood Sentinel" in der konkreten Verwendung eine verbotene Praktik der Emotionserkennung am Arbeitsplatz darstellt, ob die von der Anbieterin reklamierte Ausnahme für medizinische Zwecke und Sicherheitszwecke trägt, wie die Pflichten zwischen Anbieterin (SentiCore Analytics GmbH) und Betreiberin (Telavena Dialog GmbH) verteilt sind und welche Maßnahmen (Untersagung, Rückruf aus der Verwendung, Auflagen) sowie welche Geldbußen nach dem Sanktionsrahmen der Verordnung in Betracht kommen [Normstand zu verifizieren]. Adressaten möglicher Maßnahmen sind beide Unternehmen.</w:t>
      </w:r>
    </w:p>
    <w:p>
      <w:pPr>
        <w:pStyle w:val="Heading3"/>
      </w:pPr>
      <w:r>
        <w:rPr>
          <w:rFonts w:ascii="Times New Roman" w:hAnsi="Times New Roman"/>
        </w:rPr>
        <w:t>2.2 Datenschutzaufsicht (LDI NRW)</w:t>
      </w:r>
    </w:p>
    <w:p>
      <w:pPr>
        <w:jc w:val="left"/>
      </w:pPr>
      <w:r>
        <w:t>Gegenstand des Verfahrens der LDI NRW ist die Verarbeitung personenbezogener Beschäftigtendaten: Rechtsgrundlage der laufenden biometrienahen Stimmanalyse (Art. 6, Art. 9 DSGVO, § 26 BDSG), Informationspflichten, Datenschutz-Folgenabschätzung, Speicher- und Löschkonzept sowie die Verwendung der „Emotionsprofile" in Personalakten. Adressatin ist primär die Telavena Dialog GmbH als Verantwortliche; die Rolle der SentiCore Analytics GmbH als Auftragsverarbeiterin wird mitgeprüft.</w:t>
      </w:r>
    </w:p>
    <w:p>
      <w:pPr>
        <w:pStyle w:val="Heading3"/>
      </w:pPr>
      <w:r>
        <w:rPr>
          <w:rFonts w:ascii="Times New Roman" w:hAnsi="Times New Roman"/>
        </w:rPr>
        <w:t>2.3 Keine Sperrwirkung</w:t>
      </w:r>
    </w:p>
    <w:p>
      <w:pPr>
        <w:jc w:val="left"/>
      </w:pPr>
      <w:r>
        <w:t>Beide Verfahren stehen selbstständig nebeneinander; die Verordnung (EU) 2024/1689 lässt die DSGVO unberührt. Doppelte Sanktionierung desselben Verstoßes ist bei der Zumessung zu berücksichtigen; hierzu erfolgt vor Erlass von Sanktionsentscheidungen eine gegenseitige Anhörung der Behörden.</w:t>
      </w:r>
    </w:p>
    <w:p>
      <w:pPr>
        <w:pStyle w:val="Heading2"/>
      </w:pPr>
      <w:r>
        <w:rPr>
          <w:rFonts w:ascii="Times New Roman" w:hAnsi="Times New Roman"/>
        </w:rPr>
        <w:t>3 Vereinbarte Koordination</w:t>
      </w:r>
    </w:p>
    <w:p>
      <w:pPr>
        <w:jc w:val="left"/>
      </w:pPr>
      <w:r>
        <w:t>Erstens: Austausch der Verfahrensstände jeweils zum Monatsende; Übermittlung unserer Auskunftsergebnisse (Stellungnahmen vom 27.03.2026 und 31.03.2026, Protokoll-CSVs) an die LDI NRW, soweit datenschutzrechtlich zulässig. Zweitens: Die Bundesnetzagentur führt die Prüfung der verbotenen Praktik als führende Behörde; die LDI NRW stellt ihre etwaige Untersagung der Datenverarbeitung mit unserer Maßnahmenentscheidung zeitlich abgestimmt zu, um widersprüchliche Anordnungen zu vermeiden. Drittens: Die Identität der Beschwerdeführerin wird in beiden Verfahren vertraulich behandelt. Viertens: Über eine gemeinsame abschließende Pressemitteilung wird nach Anhörung der Beteiligten entschieden.</w:t>
      </w:r>
    </w:p>
    <w:p>
      <w:pPr>
        <w:pStyle w:val="Heading2"/>
      </w:pPr>
      <w:r>
        <w:rPr>
          <w:rFonts w:ascii="Times New Roman" w:hAnsi="Times New Roman"/>
        </w:rPr>
        <w:t>4 Weiteres Vorgehen</w:t>
      </w:r>
    </w:p>
    <w:p>
      <w:pPr>
        <w:jc w:val="left"/>
      </w:pPr>
      <w:r>
        <w:t>Die Auswertung der vorgelegten Protokolle (Alert-Log und Maßnahmen-Aufstellung) erfolgt referatsintern bis Ende April 2026. Auf dieser Grundlage ergeht die Anhörung zur beabsichtigten Untersagungsverfügung.</w:t>
      </w:r>
    </w:p>
    <w:p>
      <w:pPr>
        <w:jc w:val="left"/>
      </w:pPr>
      <w:r>
        <w:t>gez. Dr. Vahrenkamp</w:t>
      </w:r>
    </w:p>
    <w:p>
      <w:pPr>
        <w:jc w:val="left"/>
      </w:pPr>
      <w:r>
        <w:t>Regierungsdirektorin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Bundesnetzagentur für Elektrizität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Bundesnetzagentur für Elektrizität</w:t>
    </w:r>
  </w:p>
  <w:p>
    <w:pPr>
      <w:jc w:val="left"/>
      <w:pBdr>
        <w:bottom w:val="single" w:sz="6" w:space="2" w:color="3B3F45"/>
      </w:pBdr>
    </w:pPr>
    <w:r>
      <w:rPr>
        <w:rFonts w:ascii="Times New Roman" w:hAnsi="Times New Roman"/>
        <w:color w:val="6B6B66"/>
        <w:sz w:val="16"/>
      </w:rPr>
      <w:t>Gas, Telekommunikation, Post und Eisenbahnen · Aktenzeichen: KI-MÜ-2026/0147 | Verfasserin: 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