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im Anhörungsverfahren — Verteidigung der SentiCore Analytics GmbH</w:t>
      </w:r>
    </w:p>
    <w:p>
      <w:pPr>
        <w:jc w:val="left"/>
      </w:pPr>
      <w:r>
        <w:rPr>
          <w:b/>
        </w:rPr>
        <w:t>Haffke Rechtsanwälte Partnerschaft mbB</w:t>
      </w:r>
    </w:p>
    <w:p>
      <w:pPr>
        <w:jc w:val="left"/>
      </w:pPr>
      <w:r>
        <w:t>Kaiser-Wilhelm-Ring 17, 50672 Köln</w:t>
      </w:r>
    </w:p>
    <w:p>
      <w:pPr>
        <w:jc w:val="left"/>
      </w:pPr>
      <w:r>
        <w:t>Telefon: 0221 95410-0 | E-Mail: kanzlei@haffke-rae.de</w:t>
      </w:r>
    </w:p>
    <w:p>
      <w:pPr>
        <w:jc w:val="left"/>
      </w:pPr>
      <w:r>
        <w:t>An die</w:t>
      </w:r>
    </w:p>
    <w:p>
      <w:pPr>
        <w:jc w:val="left"/>
      </w:pPr>
      <w:r>
        <w:t>Bundesnetzagentur</w:t>
      </w:r>
    </w:p>
    <w:p>
      <w:pPr>
        <w:jc w:val="left"/>
      </w:pPr>
      <w:r>
        <w:t>Referat Marktüberwachung KI-Systeme</w:t>
      </w:r>
    </w:p>
    <w:p>
      <w:pPr>
        <w:jc w:val="left"/>
      </w:pPr>
      <w:r>
        <w:t>z. Hd. Frau RD'in Dr. Vahrenkamp</w:t>
      </w:r>
    </w:p>
    <w:p>
      <w:pPr>
        <w:jc w:val="left"/>
      </w:pPr>
      <w:r>
        <w:t>Tulpenfeld 4</w:t>
      </w:r>
    </w:p>
    <w:p>
      <w:pPr>
        <w:jc w:val="left"/>
      </w:pPr>
      <w:r>
        <w:t>53113 Bonn</w:t>
      </w:r>
    </w:p>
    <w:p>
      <w:pPr>
        <w:jc w:val="left"/>
      </w:pPr>
      <w:r>
        <w:t>Ihr Zeichen: KI-MÜ-2026/0147 | Unser Zeichen: 226/26 H09</w:t>
      </w:r>
    </w:p>
    <w:p>
      <w:pPr>
        <w:jc w:val="left"/>
      </w:pPr>
      <w:r>
        <w:t>Köln, 29.06.2026</w:t>
      </w:r>
    </w:p>
    <w:p>
      <w:pPr>
        <w:jc w:val="left"/>
      </w:pPr>
      <w:r>
        <w:rPr>
          <w:b/>
        </w:rPr>
        <w:t>Betreff: Anhörung vom 08.05.2026 — Stellungnahme für die SentiCore Analytics GmbH innerhalb der bis zum 30.06.2026 verlängerten Frist</w:t>
      </w:r>
    </w:p>
    <w:p>
      <w:pPr>
        <w:jc w:val="left"/>
      </w:pPr>
      <w:r>
        <w:t>Sehr geehrte Frau Dr. Vahrenkamp,</w:t>
      </w:r>
    </w:p>
    <w:p>
      <w:pPr>
        <w:jc w:val="left"/>
      </w:pPr>
      <w:r>
        <w:t>wir zeigen die Vertretung der SentiCore Analytics GmbH an; Vollmacht liegt bei. Zu den beabsichtigten Maßnahmen nehmen wir wie folgt Stellung und beantragen, von einer Untersagung gegenüber unserer Mandantin abzusehen, hilfsweise die Maßnahmen auf Konfigurationsauflagen zu beschränken, sowie das Bußgeldverfahren gegen unsere Mandantin einzustellen, hilfsweise die Geldbuße erheblich herabzusetzen.</w:t>
      </w:r>
    </w:p>
    <w:p>
      <w:pPr>
        <w:jc w:val="left"/>
      </w:pPr>
      <w:r>
        <w:t>Erstens: Der Tatbestand der verbotenen Praktik ist gegenüber der Anbieterin nicht erfüllt. Das Verbot der Emotionserkennung am Arbeitsplatz richtet sich nach seiner Struktur gegen das Inverkehrbringen für diesen Zweck und die Verwendung zu diesem Zweck [Normstand zu verifizieren]. Unsere Mandantin hat das System mit einer Zweckbestimmung als Gesundheitsschutz-Assistenz in Verkehr gebracht, die Verwendung zur Leistungskontrolle in der Produktdokumentation ausdrücklich untersagt und mit der Konfiguration „Self-Coaching" eine verbotskonforme Betriebsart als empfohlene Variante bereitgestellt. Die zweckwidrige Verwendung ist eine autonome Entscheidung der Betreiberin.</w:t>
      </w:r>
    </w:p>
    <w:p>
      <w:pPr>
        <w:jc w:val="left"/>
      </w:pPr>
      <w:r>
        <w:t>Zweitens: Die Ausnahme für medizinische Zwecke und Sicherheitszwecke ist entgegen der vorläufigen Bewertung nicht nach der tatsächlichen Verwendungspraxis eines einzelnen Kunden zu beurteilen, soweit es um die Verantwortung der Anbieterin geht. Für die Anbieterin kommt es auf die objektive Zweckbestimmung des Produkts an; diese ist auf Prävention stimmlicher Überlastung gerichtet. Anderenfalls haftete jeder Hersteller für jede vertragswidrige Kundenpraxis.</w:t>
      </w:r>
    </w:p>
    <w:p>
      <w:pPr>
        <w:jc w:val="left"/>
      </w:pPr>
      <w:r>
        <w:t>Drittens: Zur Vertriebspräsentation vom 18.06.2025 räumen wir ein, dass einzelne Formulierungen („Performance-Steigerung durch Emotions-Monitoring", „für die Personalakte") mit der Produktdokumentation nicht in Einklang stehen. Hierbei handelt es sich um eine nicht freigegebene, eigenmächtig zugespitzte Präsentationsfassung eines einzelnen Vertriebsmitarbeiters; die freigegebene Master-Präsentation enthält diese Passagen nicht. Unsere Mandantin hat dies zum Anlass genommen, den Vertriebsprozess umzustellen (Vier-Augen-Freigabe aller kundenindividuellen Präsentationen seit dem 01.05.2026) und arbeitsrechtliche Maßnahmen zu prüfen. Ein gezieltes Fördern der zweckwidrigen Verwendung durch das Unternehmen liegt darin nicht; allenfalls ein Überwachungsverschulden, das auf der Zumessungsebene zu würdigen wäre.</w:t>
      </w:r>
    </w:p>
    <w:p>
      <w:pPr>
        <w:jc w:val="left"/>
      </w:pPr>
      <w:r>
        <w:t>Viertens: Die beabsichtigte Geldbuße von 420.000,00 EUR ist überhöht. Zu berücksichtigen sind: die vollständige und fristgerechte Kooperation, die proaktive Vorlage auch nachteiliger Unterlagen, die sofortige Remediation im Vertrieb, der Umstand, dass die höchste Bußgeldkategorie nach Wortlaut und Systematik primär den Verwender der verbotenen Praktik adressiert [Normstand zu verifizieren], sowie die parallele datenschutzrechtliche Prüfung desselben Sachverhalts durch die LDI NRW. Zur wirtschaftlichen Lage legen wir den Jahresabschluss 2025 vor (Umsatz 8,4 Mio. EUR, Jahresergebnis 310.000,00 EUR); die beabsichtigte Buße wäre existenzgefährdend überproportional.</w:t>
      </w:r>
    </w:p>
    <w:p>
      <w:pPr>
        <w:jc w:val="left"/>
      </w:pPr>
      <w:r>
        <w:t>Fünftens: Als milderes Mittel bieten wir verbindlich an: die technische Erzwingung der Konfiguration „Self-Coaching" für sämtliche Arbeitsplatz-Installationen im Unionsgebiet per Pflicht-Update bis zum 30.09.2026, die Abschaltung des Teamleitungs-Dashboards für Bestandskunden, die Löschungsunterstützung für sämtliche historischen Emotionsprofile sowie die Vorlage eines externen Compliance-Audits binnen sechs Monaten. Wir regen einen Erörterungstermin an.</w:t>
      </w:r>
    </w:p>
    <w:p>
      <w:pPr>
        <w:jc w:val="left"/>
      </w:pPr>
      <w:r>
        <w:t>Wir bitten, vor einer Entscheidung die noch ausstehende zahlenmäßige Auswertung der Protokolle zur Verfügung zu stellen und Gelegenheit zur Stellungnahme hierzu zu geben.</w:t>
      </w:r>
    </w:p>
    <w:p>
      <w:pPr>
        <w:jc w:val="left"/>
      </w:pPr>
      <w:r>
        <w:t>Mit freundlichen Grüßen</w:t>
      </w:r>
    </w:p>
    <w:p>
      <w:pPr>
        <w:jc w:val="left"/>
      </w:pPr>
      <w:r>
        <w:t>Dr. Cornelius Haffke</w:t>
      </w:r>
    </w:p>
    <w:p>
      <w:pPr>
        <w:jc w:val="left"/>
      </w:pPr>
      <w:r>
        <w:t>Rechtsanwalt</w:t>
      </w:r>
    </w:p>
    <w:p>
      <w:pPr>
        <w:jc w:val="left"/>
      </w:pPr>
      <w:r>
        <w:t>Anlagen: Vollmacht; freigegebene Master-Präsentation (Stand 04/2025); Prozessbeschreibung Vertriebsfreigabe; Jahresabschluss 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SentiCore Analytics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SentiCore Analytics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