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Systembeschreibung „KOMPASS" — technische Datenanbindung (Konnektoren)</w:t>
      </w:r>
    </w:p>
    <w:p>
      <w:pPr>
        <w:jc w:val="left"/>
      </w:pPr>
      <w:r>
        <w:t>KommunalData Analytics GmbH</w:t>
      </w:r>
    </w:p>
    <w:p>
      <w:pPr>
        <w:jc w:val="left"/>
      </w:pPr>
      <w:r>
        <w:t>Prager Straße 18, 04317 Leipzig</w:t>
      </w:r>
    </w:p>
    <w:p>
      <w:pPr>
        <w:jc w:val="left"/>
      </w:pPr>
      <w:r>
        <w:t>Telefon: 0341 33099-0 | E-Mail: support@kommunaldata.de</w:t>
      </w:r>
    </w:p>
    <w:p>
      <w:pPr>
        <w:jc w:val="left"/>
      </w:pPr>
      <w:r>
        <w:t>HRB 33871, Amtsgericht Leipzig | Geschäftsführung: Sören Achterberg</w:t>
      </w:r>
    </w:p>
    <w:p>
      <w:pPr>
        <w:jc w:val="left"/>
      </w:pPr>
      <w:r>
        <w:t>Dokument-ID: KDA-KOMPASS-SB-014 | Version: 4.2 | Stand: 12.01.2026 | für: Stadt Chemnitz, Sozialamt</w:t>
      </w:r>
    </w:p>
    <w:p>
      <w:pPr>
        <w:pStyle w:val="Heading2"/>
      </w:pPr>
      <w:r>
        <w:rPr>
          <w:rFonts w:ascii="Times New Roman" w:hAnsi="Times New Roman"/>
        </w:rPr>
        <w:t>1 Zweck des Dokuments</w:t>
      </w:r>
    </w:p>
    <w:p>
      <w:pPr>
        <w:jc w:val="left"/>
      </w:pPr>
      <w:r>
        <w:t>Diese Systembeschreibung dokumentiert die in der Konfiguration für die Stadt Chemnitz aktivierten Datenquellen (Konnektoren) und die Berechnung des Kooperations-Scores.</w:t>
      </w:r>
    </w:p>
    <w:p>
      <w:pPr>
        <w:pStyle w:val="Heading2"/>
      </w:pPr>
      <w:r>
        <w:rPr>
          <w:rFonts w:ascii="Times New Roman" w:hAnsi="Times New Roman"/>
        </w:rPr>
        <w:t>2 Aktivierte Konnektoren</w:t>
      </w:r>
    </w:p>
    <w:p>
      <w:pPr>
        <w:jc w:val="left"/>
      </w:pPr>
      <w:r>
        <w:t>Für die Stadt Chemnitz sind folgende Konnektoren aktiviert und liefern Eingangsdaten für den Kooperations-Score:</w:t>
      </w:r>
    </w:p>
    <w:p>
      <w:pPr>
        <w:pStyle w:val="Heading3"/>
      </w:pPr>
      <w:r>
        <w:rPr>
          <w:rFonts w:ascii="Times New Roman" w:hAnsi="Times New Roman"/>
        </w:rPr>
        <w:t>2.1 Konnektor Sozialamt (Fachverfahren Leistung)</w:t>
      </w:r>
    </w:p>
    <w:p>
      <w:pPr>
        <w:jc w:val="left"/>
      </w:pPr>
      <w:r>
        <w:t>Liefert die Merkmale fehlende Mitwirkung, versäumte Termine und unvollständige Unterlagen.</w:t>
      </w:r>
    </w:p>
    <w:p>
      <w:pPr>
        <w:pStyle w:val="Heading3"/>
      </w:pPr>
      <w:r>
        <w:rPr>
          <w:rFonts w:ascii="Times New Roman" w:hAnsi="Times New Roman"/>
        </w:rPr>
        <w:t>2.2 Konnektor Stadtbibliothek</w:t>
      </w:r>
    </w:p>
    <w:p>
      <w:pPr>
        <w:jc w:val="left"/>
      </w:pPr>
      <w:r>
        <w:t>Liefert offene Mahnungen und Gebührenrückstände aus dem Bibliotheksverwaltungssystem.</w:t>
      </w:r>
    </w:p>
    <w:p>
      <w:pPr>
        <w:pStyle w:val="Heading3"/>
      </w:pPr>
      <w:r>
        <w:rPr>
          <w:rFonts w:ascii="Times New Roman" w:hAnsi="Times New Roman"/>
        </w:rPr>
        <w:t>2.3 Konnektor Ordnungsamt</w:t>
      </w:r>
    </w:p>
    <w:p>
      <w:pPr>
        <w:jc w:val="left"/>
      </w:pPr>
      <w:r>
        <w:t>Liefert nicht beglichene Verwarnungs- und Bußgelder aus dem ruhenden Verkehr (Parkverstöße).</w:t>
      </w:r>
    </w:p>
    <w:p>
      <w:pPr>
        <w:pStyle w:val="Heading3"/>
      </w:pPr>
      <w:r>
        <w:rPr>
          <w:rFonts w:ascii="Times New Roman" w:hAnsi="Times New Roman"/>
        </w:rPr>
        <w:t>2.4 Konnektor Verkehrsbetrieb (CVAG-Datenschnittstelle)</w:t>
      </w:r>
    </w:p>
    <w:p>
      <w:pPr>
        <w:jc w:val="left"/>
      </w:pPr>
      <w:r>
        <w:t>Liefert gemeldete Fälle von Beförderungserschleichung (Fahren ohne gültigen Fahrschein).</w:t>
      </w:r>
    </w:p>
    <w:p>
      <w:pPr>
        <w:pStyle w:val="Heading3"/>
      </w:pPr>
      <w:r>
        <w:rPr>
          <w:rFonts w:ascii="Times New Roman" w:hAnsi="Times New Roman"/>
        </w:rPr>
        <w:t>2.5 Konnektor Abfallwirtschaft</w:t>
      </w:r>
    </w:p>
    <w:p>
      <w:pPr>
        <w:jc w:val="left"/>
      </w:pPr>
      <w:r>
        <w:t>Liefert dokumentierte Verstöße gegen die Abfallsatzung (unzulässige Sperrmüllablagerung).</w:t>
      </w:r>
    </w:p>
    <w:p>
      <w:pPr>
        <w:pStyle w:val="Heading2"/>
      </w:pPr>
      <w:r>
        <w:rPr>
          <w:rFonts w:ascii="Times New Roman" w:hAnsi="Times New Roman"/>
        </w:rPr>
        <w:t>3 Score-Berechnung</w:t>
      </w:r>
    </w:p>
    <w:p>
      <w:pPr>
        <w:jc w:val="left"/>
      </w:pPr>
      <w:r>
        <w:t>Der Score beginnt bei 100 Punkten. Für jeden dokumentierten Vorfall wird ein quellenspezifischer Punktabzug vorgenommen. Die vollständige Faktor- und Gewichtungstabelle ist als Aktenstück 04 hinterlegt. Der resultierende Score bestimmt die Klasse und die daran geknüpften Maßnahmen (Aktenstück 05).</w:t>
      </w:r>
    </w:p>
    <w:p>
      <w:pPr>
        <w:pStyle w:val="Heading2"/>
      </w:pPr>
      <w:r>
        <w:rPr>
          <w:rFonts w:ascii="Times New Roman" w:hAnsi="Times New Roman"/>
        </w:rPr>
        <w:t>4 Hinweis des Dienstleisters</w:t>
      </w:r>
    </w:p>
    <w:p>
      <w:pPr>
        <w:jc w:val="left"/>
      </w:pPr>
      <w:r>
        <w:t>Die Auswahl und Aktivierung der Konnektoren erfolgte auf Wunsch der Stadt Chemnitz im Rahmen der Einführungsworkshops. Die Konnektoren zur Stadtbibliothek, zum Ordnungsamt, zum Verkehrsbetrieb und zur Abfallwirtschaft wurden gemeinsam mit der Projektleitung freigeschaltet, um die Aussagekraft des Kooperations-Scores zu erhöhen. Eine Beschränkung auf den Konnektor Sozialamt ist technisch möglich, war aber nicht beauftragt.</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KommunalData Analytics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KommunalData Analytics GmbH</w:t>
    </w:r>
  </w:p>
  <w:p>
    <w:pPr>
      <w:jc w:val="left"/>
      <w:pBdr>
        <w:bottom w:val="single" w:sz="6" w:space="2" w:color="3B3F45"/>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