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18 — BaFin-Schnittstelle: Finanzaufsicht und Datenschutz-Berührungspunkte</w:t>
      </w:r>
    </w:p>
    <w:p>
      <w:pPr>
        <w:jc w:val="left"/>
      </w:pPr>
      <w:r>
        <w:rPr>
          <w:b/>
        </w:rPr>
        <w:t>Aktenzeichen:</w:t>
      </w:r>
      <w:r>
        <w:t xml:space="preserve"> 2026-V-0427</w:t>
      </w:r>
    </w:p>
    <w:p>
      <w:pPr>
        <w:jc w:val="left"/>
      </w:pPr>
      <w:r>
        <w:rPr>
          <w:b/>
        </w:rPr>
        <w:t>Erstellt:</w:t>
      </w:r>
      <w:r>
        <w:t xml:space="preserve"> 26.04.2026</w:t>
      </w:r>
    </w:p>
    <w:p>
      <w:pPr>
        <w:jc w:val="left"/>
      </w:pPr>
      <w:r>
        <w:rPr>
          <w:b/>
        </w:rPr>
        <w:t>Bearbeitung:</w:t>
      </w:r>
      <w:r>
        <w:t xml:space="preserve"> RA Dr. Mark Roosendaal</w:t>
      </w:r>
    </w:p>
    <w:p>
      <w:pPr>
        <w:jc w:val="left"/>
      </w:pPr>
      <w:r>
        <w:rPr>
          <w:b/>
        </w:rPr>
        <w:t>Rechtsgrundlage:</w:t>
      </w:r>
      <w:r>
        <w:t xml:space="preserve"> KI-VoDG § 5 (BaFin-Zuständigkeit Finanzsektor); DSGVO Art. 9, 35; BfDI Az. 13-3120/004#0117</w:t>
      </w:r>
    </w:p>
    <w:p/>
    <w:p>
      <w:pPr>
        <w:pStyle w:val="Heading2"/>
      </w:pPr>
      <w:r>
        <w:rPr>
          <w:rFonts w:ascii="Times New Roman" w:hAnsi="Times New Roman"/>
        </w:rPr>
        <w:t>1. BaFin-Zuständigkeit im KI-VO-Kontext</w:t>
      </w:r>
    </w:p>
    <w:p>
      <w:pPr>
        <w:jc w:val="left"/>
      </w:pPr>
      <w:r>
        <w:t>Gemäß § 5 Abs. 2 KI-VoDG ist die Bundesanstalt für Finanzdienstleistungsaufsicht (BaFin) die zuständige Marktüberwachungsbehörde für KI-Systeme im Anwendungsbereich des Kreditwesengesetzes (KWG), der Versicherungsaufsicht (VAG) und verwandter Finanzmarktregulierung. MedAssist AI GmbH ist kein Finanzdienstleister; MedAssist v4 hat keine originäre Finanzsektoranwendung.</w:t>
      </w:r>
    </w:p>
    <w:p>
      <w:pPr>
        <w:jc w:val="left"/>
      </w:pPr>
      <w:r>
        <w:rPr>
          <w:b/>
        </w:rPr>
        <w:t>Direkter BaFin-Bezug besteht nicht.</w:t>
      </w:r>
      <w:r>
        <w:t xml:space="preserve"> Das vorliegende Aktenstück dokumentiert jedoch zwei Berührungspunkte, die BaFin-relevante Aspekte tangieren:</w:t>
      </w:r>
    </w:p>
    <w:p/>
    <w:p>
      <w:pPr>
        <w:pStyle w:val="Heading2"/>
      </w:pPr>
      <w:r>
        <w:rPr>
          <w:rFonts w:ascii="Times New Roman" w:hAnsi="Times New Roman"/>
        </w:rPr>
        <w:t>2. D&amp;O-Versicherung: BaFin-Aufsicht über Allianz SE</w:t>
      </w:r>
    </w:p>
    <w:p>
      <w:pPr>
        <w:jc w:val="left"/>
      </w:pPr>
      <w:r>
        <w:t>Die Kündigung der D&amp;O-Police der Allianz SE (Schreiben 01.03.2026) ist versicherungsvertragsrechtlich relevant. Die Allianz SE unterliegt der Aufsicht durch die BaFin (§ 1 Abs. 1 Nr. 1 VAG). Sofern die Kündigung als Reaktion auf ein regulatorisches Verfahren (BNetzA-Marktüberwachung) erfolgt, stellt sich die Frage, ob ein Wettbewerbs- oder Aufsichtsrecht-Problem besteht.</w:t>
      </w:r>
    </w:p>
    <w:p>
      <w:pPr>
        <w:jc w:val="left"/>
      </w:pPr>
      <w:r>
        <w:rPr>
          <w:b/>
        </w:rPr>
        <w:t>Einschätzung:</w:t>
      </w:r>
      <w:r>
        <w:t xml:space="preserve"> Die Kündigung der D&amp;O-Versicherung ist privatrechtlich zulässig (§ 314 BGB, außerordentliche Kündigung bei schwerwiegender Pflichtverletzung). Eine BaFin-Intervention ist nicht zu erwarten. Die Kündigung entfaltet jedoch erheblichen Druck auf den Vorstand der MedAssist AI GmbH: Ohne D&amp;O-Schutz haften CEO Dr. Vogelkamp und CTO Krishnamurthy persönlich für Schäden aus KI-VO-Verstößen (§ 43 GmbHG i.V.m. § 823 BGB). Dies verstärkt die Motivation zur schnellen Konformitätsherstellung.</w:t>
      </w:r>
    </w:p>
    <w:p>
      <w:pPr>
        <w:jc w:val="left"/>
      </w:pPr>
      <w:r>
        <w:rPr>
          <w:b/>
        </w:rPr>
        <w:t>Empfehlung:</w:t>
      </w:r>
      <w:r>
        <w:t xml:space="preserve"> Erneute Verhandlung mit Allianz SE nach Vorlage des Handlungsplans und Nachweis der eingeleiteten Maßnahmen (insbesondere Quittierungsschritt-Rollout). Parallel: Marktabfrage alternativer D&amp;O-Versicherer im KI-Bereich (z.B. AXA XL, Zurich).</w:t>
      </w:r>
    </w:p>
    <w:p/>
    <w:p>
      <w:pPr>
        <w:pStyle w:val="Heading2"/>
      </w:pPr>
      <w:r>
        <w:rPr>
          <w:rFonts w:ascii="Times New Roman" w:hAnsi="Times New Roman"/>
        </w:rPr>
        <w:t>3. BfDI: DPIA und Datenschutz-Berührungspunkte</w:t>
      </w:r>
    </w:p>
    <w:p>
      <w:pPr>
        <w:pStyle w:val="Heading3"/>
      </w:pPr>
      <w:r>
        <w:rPr>
          <w:rFonts w:ascii="Times New Roman" w:hAnsi="Times New Roman"/>
        </w:rPr>
        <w:t>3.1 BfDI-Anforderung (Az. 13-3120/004#0117)</w:t>
      </w:r>
    </w:p>
    <w:p>
      <w:pPr>
        <w:jc w:val="left"/>
      </w:pPr>
      <w:r>
        <w:t>Die Bundesbeauftragte für den Datenschutz und die Informationsfreiheit (BfDI) hat mit Schreiben vom 15.02.2026 eine Datenschutz-Folgenabschätzung (DPIA) nach Art. 35 DSGVO angefordert. Die BfDI begründet die Anforderung mit:</w:t>
      </w:r>
    </w:p>
    <w:p>
      <w:pPr>
        <w:pStyle w:val="ListBullet"/>
      </w:pPr>
      <w:r>
        <w:t>Systematische Verarbeitung von Gesundheitsdaten (Art. 9 Abs. 1 DSGVO) in großem Maßstab (18 Krankenhäuser, täglich ca. 3.200 Notrufe)</w:t>
      </w:r>
    </w:p>
    <w:p>
      <w:pPr>
        <w:pStyle w:val="ListBullet"/>
      </w:pPr>
      <w:r>
        <w:t>Automatisierte Entscheidungsunterstützung mit potenzieller Wirkung auf Betroffene (Patienten), Art. 22 DSGVO</w:t>
      </w:r>
    </w:p>
    <w:p>
      <w:pPr>
        <w:pStyle w:val="ListBullet"/>
      </w:pPr>
      <w:r>
        <w:t>Verarbeitung von Daten besonderer Kategorien ohne ausreichend dokumentierte Rechtsgrundlage</w:t>
      </w:r>
    </w:p>
    <w:p>
      <w:pPr>
        <w:pStyle w:val="Heading3"/>
      </w:pPr>
      <w:r>
        <w:rPr>
          <w:rFonts w:ascii="Times New Roman" w:hAnsi="Times New Roman"/>
        </w:rPr>
        <w:t>3.2 Art. 35 DSGVO — Pflicht zur DPIA</w:t>
      </w:r>
    </w:p>
    <w:p>
      <w:pPr>
        <w:jc w:val="left"/>
      </w:pPr>
      <w:r>
        <w:t>Art. 35 Abs. 3 lit. a DSGVO: Eine DPIA ist obligatorisch bei „systematischer und umfangreicher Verarbeitung besonderer Kategorien von Daten gemäß Art. 9". Dies ist hier eindeutig gegeben.</w:t>
      </w:r>
    </w:p>
    <w:p>
      <w:pPr>
        <w:jc w:val="left"/>
      </w:pPr>
      <w:r>
        <w:t>Die DPIA hätte vor Inbetriebnahme von MedAssist v4 durchgeführt werden müssen. Das Versäumnis begründet einen Verstoß gegen Art. 35 DSGVO, für den die BfDI Bußgelder nach Art. 83 Abs. 4 DSGVO (bis 10 Mio. EUR oder 2 % des weltweiten Jahresumsatzes) verhängen kann.</w:t>
      </w:r>
    </w:p>
    <w:p>
      <w:pPr>
        <w:pStyle w:val="Heading3"/>
      </w:pPr>
      <w:r>
        <w:rPr>
          <w:rFonts w:ascii="Times New Roman" w:hAnsi="Times New Roman"/>
        </w:rPr>
        <w:t>3.3 DPIA-Inhalte (Art. 35 Abs. 7 DSGVO)</w:t>
      </w:r>
    </w:p>
    <w:p>
      <w:pPr>
        <w:jc w:val="left"/>
      </w:pPr>
      <w:r>
        <w:t>Die DPIA muss enthalten:</w:t>
      </w:r>
    </w:p>
    <w:p>
      <w:pPr>
        <w:pStyle w:val="ListBullet"/>
      </w:pPr>
      <w:r>
        <w:t>Systematische Beschreibung der Verarbeitungsvorgänge und Verarbeitungszwecke</w:t>
      </w:r>
    </w:p>
    <w:p>
      <w:pPr>
        <w:pStyle w:val="ListBullet"/>
      </w:pPr>
      <w:r>
        <w:t>Bewertung der Notwendigkeit und Verhältnismäßigkeit</w:t>
      </w:r>
    </w:p>
    <w:p>
      <w:pPr>
        <w:pStyle w:val="ListBullet"/>
      </w:pPr>
      <w:r>
        <w:t>Bewertung der Risiken für die Rechte und Freiheiten der betroffenen Personen</w:t>
      </w:r>
    </w:p>
    <w:p>
      <w:pPr>
        <w:pStyle w:val="ListBullet"/>
      </w:pPr>
      <w:r>
        <w:t>Vorgesehene Abhilfemaßnahmen, Sicherheitsmaßnahmen und Garantien</w:t>
      </w:r>
    </w:p>
    <w:p>
      <w:pPr>
        <w:jc w:val="left"/>
      </w:pPr>
      <w:r>
        <w:rPr>
          <w:b/>
        </w:rPr>
        <w:t>Besonderheit KI:</w:t>
      </w:r>
      <w:r>
        <w:t xml:space="preserve"> Für KI-Systeme empfiehlt das European Data Protection Board (EDPB), in der DPIA auch das Risiko algorithmischer Diskriminierung (Bias) zu adressieren. Dies schlägt die Brücke zu Art. 10 KI-VO (s. Aktenstück 05).</w:t>
      </w:r>
    </w:p>
    <w:p/>
    <w:p>
      <w:pPr>
        <w:pStyle w:val="Heading2"/>
      </w:pPr>
      <w:r>
        <w:rPr>
          <w:rFonts w:ascii="Times New Roman" w:hAnsi="Times New Roman"/>
        </w:rPr>
        <w:t>4. Art. 22 DSGVO — Automatisierte Einzelentscheidungen</w:t>
      </w:r>
    </w:p>
    <w:p>
      <w:pPr>
        <w:jc w:val="left"/>
      </w:pPr>
      <w:r>
        <w:t>Art. 22 Abs. 1 DSGVO: Personen haben das Recht, nicht einer ausschließlich automatisierten Entscheidung unterworfen zu werden, die ihnen gegenüber rechtliche Wirkung entfaltet oder sie in ähnlicher Weise erheblich beeinträchtigt. Im Notfalldispositionskontext: Wird die Ressourcenzuweisung durch MedAssist v4 faktisch ohne menschliche Prüfung übernommen (was in 14 Kliniken der Fall ist), kann dies als „ausschließlich automatisierte" Entscheidung qualifiziert werden.</w:t>
      </w:r>
    </w:p>
    <w:p>
      <w:pPr>
        <w:jc w:val="left"/>
      </w:pPr>
      <w:r>
        <w:rPr>
          <w:b/>
        </w:rPr>
        <w:t>Handlungsempfehlung:</w:t>
      </w:r>
      <w:r>
        <w:t xml:space="preserve"> Der Roll-out des Pflicht-Quittierungsschritts (Art. 14 KI-VO) löst zugleich die Art. 22 DSGVO-Problematik. Die DPIA muss diesen Zusammenhang explizit dokumentieren.</w:t>
      </w:r>
    </w:p>
    <w:p/>
    <w:p>
      <w:pPr>
        <w:pStyle w:val="Heading2"/>
      </w:pPr>
      <w:r>
        <w:rPr>
          <w:rFonts w:ascii="Times New Roman" w:hAnsi="Times New Roman"/>
        </w:rPr>
        <w:t>5. Handlungsempfehlungen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DPIA erstellen und BfDI vorlegen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Roosendaal (federführend)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Allianz SE: Verhandlung D&amp;O-Verlängerung nach Handlungsplan-Vorlage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CEO Dr. Vogelkamp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22 DSGVO-Analyse in DPIA integrieren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Roosendaal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Rechtsgrundlagen-Prüfung AVV 18 Kliniken (Art. 9 DSGVO)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Roosendaal</w:t>
            </w:r>
          </w:p>
        </w:tc>
      </w:tr>
    </w:tbl>
    <w:p/>
    <w:p>
      <w:pPr>
        <w:jc w:val="left"/>
      </w:pPr>
      <w:r>
        <w:rPr>
          <w:i/>
        </w:rPr>
        <w:t>Heidelberg, 26.04.2026</w:t>
      </w:r>
    </w:p>
    <w:p>
      <w:pPr>
        <w:jc w:val="left"/>
      </w:pPr>
      <w:r>
        <w:rPr>
          <w:i/>
        </w:rPr>
        <w:t>RA Dr. Mark Roosendaal — Az. 2026-V-0427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Aktenstück 18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Aktenstück 18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 · Aktenzeichen: 2026-V-0427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