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EU-Konformitätserklärung – Unterzeichnungsentwurf mit Begleitnotiz</w:t>
      </w:r>
    </w:p>
    <w:p>
      <w:pPr>
        <w:jc w:val="left"/>
      </w:pPr>
      <w:r>
        <w:rPr>
          <w:b/>
        </w:rPr>
        <w:t>Anbieter:</w:t>
      </w:r>
      <w:r>
        <w:t xml:space="preserve"> BewerberPilot Score GmbH, Koeln</w:t>
      </w:r>
    </w:p>
    <w:p>
      <w:pPr>
        <w:jc w:val="left"/>
      </w:pPr>
      <w:r>
        <w:rPr>
          <w:b/>
        </w:rPr>
        <w:t>Produkt:</w:t>
      </w:r>
      <w:r>
        <w:t xml:space="preserve"> BewerberPilot TalentRank 2.4</w:t>
      </w:r>
    </w:p>
    <w:p>
      <w:pPr>
        <w:jc w:val="left"/>
      </w:pPr>
      <w:r>
        <w:rPr>
          <w:b/>
        </w:rPr>
        <w:t>Version:</w:t>
      </w:r>
      <w:r>
        <w:t xml:space="preserve"> Release Candidate (Stand 25.05.2026)</w:t>
      </w:r>
    </w:p>
    <w:p>
      <w:pPr>
        <w:jc w:val="left"/>
      </w:pPr>
      <w:r>
        <w:rPr>
          <w:b/>
        </w:rPr>
        <w:t>Dokumentenklasse:</w:t>
      </w:r>
      <w:r>
        <w:t xml:space="preserve"> Entwurf zur Unterzeichnungsvorbereitung — </w:t>
      </w:r>
      <w:r>
        <w:rPr>
          <w:b/>
        </w:rPr>
        <w:t>nicht</w:t>
      </w:r>
      <w:r>
        <w:t xml:space="preserve"> zur sofortigen Aushändigung an Pilotkundin oder Behörde.</w:t>
      </w:r>
    </w:p>
    <w:p>
      <w:pPr>
        <w:jc w:val="left"/>
      </w:pPr>
      <w:r>
        <w:t>Diese Erklärung ergänzt 09_eu_konformitaetserklaerung_anhang_v_entwurf.md. Sie ist als präzisierter Unterzeichnungsentwurf konzipiert. Die Geschäftsführung Miriam Dornfeld und der Compliance Officer Dr. Caspar Lintorf sollen erst dann unterzeichnen, wenn die Lücken aus 10_lueckenliste_massnahmenplan.md vollständig geschlossen sind.</w:t>
      </w:r>
    </w:p>
    <w:p/>
    <w:p>
      <w:pPr>
        <w:pStyle w:val="Heading2"/>
      </w:pPr>
      <w:r>
        <w:rPr>
          <w:rFonts w:ascii="Times New Roman" w:hAnsi="Times New Roman"/>
        </w:rPr>
        <w:t>EU-Konformitätserklärung nach Anhang V der Verordnung (EU) 2024/1689 (KI-VO)</w:t>
      </w:r>
    </w:p>
    <w:p>
      <w:pPr>
        <w:pStyle w:val="Heading3"/>
      </w:pPr>
      <w:r>
        <w:rPr>
          <w:rFonts w:ascii="Times New Roman" w:hAnsi="Times New Roman"/>
        </w:rPr>
        <w:t>1. Identifikation des Anbieters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Firma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BewerberPilot Score GmbH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Anschrift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Riehler Strasse 44, 50668 Koeln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Handelsregister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HRB 102 884 AG Koeln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USt-IdNr.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 314 882 117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Vertretung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Miriam Dornfeld (Geschäftsführerin), Dr. Caspar Lintorf (Compliance Officer)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Kontakt für Marktüberwachung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conformity@bewerberpilot.de, +49 221 84 22 14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 Identifikation des KI-Systems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Produktname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BewerberPilot TalentRank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2.4 (Release Candidate, Build BP-TR-2.4-RC-2026-05-28)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Eindeutige Kennung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BP-TR-2.4-RC-2026-05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Zweckbestimmung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Unterstützung menschlicher Recruitingteams bei Sichtung, Priorisierung und Zusammenfassung eingehender Bewerbungen. Nicht zur automatisierten finalen Einstellungsentscheidung bestimmt.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Einsatzbereich (Anhang III)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Beschäftigung, Arbeitnehmermanagement und Zugang zur Selbstständigkeit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Klassifikation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Hochrisiko-KI nach Art. 6 Abs. 2 i.V.m. Anhang III Nr. 4 lit. b)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 Erklärung des Anbieters</w:t>
      </w:r>
    </w:p>
    <w:p>
      <w:pPr>
        <w:jc w:val="left"/>
      </w:pPr>
      <w:r>
        <w:t>Die BewerberPilot Score GmbH erklärt in alleiniger Verantwortung, dass das oben bezeichnete KI-System BewerberPilot TalentRank 2.4 nach Abschluss der Konformitätsbewertung mit den einschlägigen Anforderungen der Verordnung (EU) 2024/1689 (KI-VO) übereinstimmt, insbesondere mit:</w:t>
      </w:r>
    </w:p>
    <w:p>
      <w:pPr>
        <w:pStyle w:val="ListBullet"/>
      </w:pPr>
      <w:r>
        <w:t>Art. 9 (Risikomanagementsystem)</w:t>
      </w:r>
    </w:p>
    <w:p>
      <w:pPr>
        <w:pStyle w:val="ListBullet"/>
      </w:pPr>
      <w:r>
        <w:t>Art. 10 (Daten und Daten-Governance)</w:t>
      </w:r>
    </w:p>
    <w:p>
      <w:pPr>
        <w:pStyle w:val="ListBullet"/>
      </w:pPr>
      <w:r>
        <w:t>Art. 11 (Technische Dokumentation)</w:t>
      </w:r>
    </w:p>
    <w:p>
      <w:pPr>
        <w:pStyle w:val="ListBullet"/>
      </w:pPr>
      <w:r>
        <w:t>Art. 12 (Aufzeichnungspflichten)</w:t>
      </w:r>
    </w:p>
    <w:p>
      <w:pPr>
        <w:pStyle w:val="ListBullet"/>
      </w:pPr>
      <w:r>
        <w:t>Art. 13 (Transparenz und Bereitstellung von Informationen)</w:t>
      </w:r>
    </w:p>
    <w:p>
      <w:pPr>
        <w:pStyle w:val="ListBullet"/>
      </w:pPr>
      <w:r>
        <w:t>Art. 14 (Menschliche Aufsicht)</w:t>
      </w:r>
    </w:p>
    <w:p>
      <w:pPr>
        <w:pStyle w:val="ListBullet"/>
      </w:pPr>
      <w:r>
        <w:t>Art. 15 (Genauigkeit, Robustheit und Cybersicherheit)</w:t>
      </w:r>
    </w:p>
    <w:p>
      <w:pPr>
        <w:pStyle w:val="ListBullet"/>
      </w:pPr>
      <w:r>
        <w:t>Art. 17 (Qualitätsmanagementsystem)</w:t>
      </w:r>
    </w:p>
    <w:p>
      <w:pPr>
        <w:pStyle w:val="ListBullet"/>
      </w:pPr>
      <w:r>
        <w:t>Art. 18 (Aufbewahrung von Dokumenten)</w:t>
      </w:r>
    </w:p>
    <w:p>
      <w:pPr>
        <w:pStyle w:val="ListBullet"/>
      </w:pPr>
      <w:r>
        <w:t>Art. 19 (Beschwerdemanagement)</w:t>
      </w:r>
    </w:p>
    <w:p>
      <w:pPr>
        <w:pStyle w:val="ListBullet"/>
      </w:pPr>
      <w:r>
        <w:t>Art. 43 (Konformitätsbewertung)</w:t>
      </w:r>
    </w:p>
    <w:p>
      <w:pPr>
        <w:pStyle w:val="ListBullet"/>
      </w:pPr>
      <w:r>
        <w:t>Art. 47 und Anhang V (EU-Konformitätserklärung)</w:t>
      </w:r>
    </w:p>
    <w:p>
      <w:pPr>
        <w:pStyle w:val="ListBullet"/>
      </w:pPr>
      <w:r>
        <w:t>Art. 49 und Art. 71 (Registrierung in der EU-Datenbank)</w:t>
      </w:r>
    </w:p>
    <w:p>
      <w:pPr>
        <w:pStyle w:val="ListBullet"/>
      </w:pPr>
      <w:r>
        <w:t>Art. 72 (Beobachtung nach Inverkehrbringen)</w:t>
      </w:r>
    </w:p>
    <w:p>
      <w:pPr>
        <w:jc w:val="left"/>
      </w:pPr>
      <w:r>
        <w:rPr>
          <w:b/>
        </w:rPr>
        <w:t>Entwurfsvermerk:</w:t>
      </w:r>
      <w:r>
        <w:t xml:space="preserve"> Der Abschluss der Konformitätsbewertung ist Stand 25.05.2026 noch nicht dokumentiert. Diese Erklärung darf daher derzeit </w:t>
      </w:r>
      <w:r>
        <w:rPr>
          <w:b/>
        </w:rPr>
        <w:t>nicht</w:t>
      </w:r>
      <w:r>
        <w:t xml:space="preserve"> als finale Erklärung verwendet werden. Sie wird mit Schliessung der in 10_lueckenliste_massnahmenplan.md genannten blockierenden Lücken final.</w:t>
      </w:r>
    </w:p>
    <w:p>
      <w:pPr>
        <w:pStyle w:val="Heading3"/>
      </w:pPr>
      <w:r>
        <w:rPr>
          <w:rFonts w:ascii="Times New Roman" w:hAnsi="Times New Roman"/>
        </w:rPr>
        <w:t>4. Notifizierte Stelle</w:t>
      </w:r>
    </w:p>
    <w:p>
      <w:pPr>
        <w:jc w:val="left"/>
      </w:pPr>
      <w:r>
        <w:t>Nach gegenwärtiger Einschätzung der Anbieterin ist eine notifizierte Stelle nicht erforderlich, weil die Konformitätsbewertung als interne Kontrolle nach Modul A der KI-VO durchgeführt wird. Diese Einschätzung wird vor finaler Inverkehrbringung erneut bestätigt. Sollte eine notifizierte Stelle erforderlich werden (etwa bei Änderung der Hochrisiko-Klassifikation oder bei Anwendung einer relevanten harmonisierten Norm), erfolgt eine Anpassung dieser Erklärung.</w:t>
      </w:r>
    </w:p>
    <w:p>
      <w:pPr>
        <w:pStyle w:val="Heading3"/>
      </w:pPr>
      <w:r>
        <w:rPr>
          <w:rFonts w:ascii="Times New Roman" w:hAnsi="Times New Roman"/>
        </w:rPr>
        <w:t>5. Angewandte Normen und Spezifikationen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Norm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Anwendungsbereich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ISO/IEC 42001:2023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KI-Managementsystem (internes Rahmenwerk)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angewendet, ohne Vermutungswirkung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ISO/IEC 23894:2023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KI-Risikomanagement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angewendet, ohne Vermutungswirkung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Interne Testmethodik BP-QA-ML-11 v3.0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Modell- und Robustheits-Tests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angewendet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DIN EN ISO/IEC 27001:2022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Informationssicherheit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angewendet für Hosting</w:t>
            </w:r>
          </w:p>
        </w:tc>
      </w:tr>
    </w:tbl>
    <w:p>
      <w:pPr>
        <w:jc w:val="left"/>
      </w:pPr>
      <w:r>
        <w:rPr>
          <w:b/>
        </w:rPr>
        <w:t>Vermutungswirkung:</w:t>
      </w:r>
      <w:r>
        <w:t xml:space="preserve"> Die Anbieterin beruft sich derzeit nicht auf harmonisierte Normen mit Vermutungswirkung im Sinne des Art. 40 KI-VO. Sobald eine einschlägige harmonisierte Norm im Amtsblatt der EU veröffentlicht ist (z.B. zukünftiger Standard "AI Risk Management for Employment Systems"), erfolgt eine Anpassung dieser Erklärung.</w:t>
      </w:r>
    </w:p>
    <w:p>
      <w:pPr>
        <w:pStyle w:val="Heading3"/>
      </w:pPr>
      <w:r>
        <w:rPr>
          <w:rFonts w:ascii="Times New Roman" w:hAnsi="Times New Roman"/>
        </w:rPr>
        <w:t>6. Anhänge zur Erklärung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Anhang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Bezeichnung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Aktenkapitel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Anhang 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Systembeschreibung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01_systembeschreibung_bewerberpilot.md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Anhang 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Risikomanagementregister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03_risikomanagement_art_9_register.md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Anhang C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Daten-Governance und Bias-Test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04_daten_governance_bias_test_art_10.md, 13_bias_audit_bericht.md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Anhang 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Technische Dokumentation Index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05_technische_dokumentation_anhang_iv_index.md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Anhang 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Human-Oversight-Konzept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06_human_oversight_logging_art_12_14.md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Anhang 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Konformitaetsbewertungs-Checkliste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07_konformitaetsbewertung_art_43_checkliste.md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Anhang 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Konformitätsvermerk (Entwurf)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08_konformitaetsbescheinigung_entwurf.md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Anhang 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Lückenliste und Massnahmenplan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10_lueckenliste_massnahmenplan.md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Anhang 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Datenschutz-Folgenabschaetzung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12_datenschutzfolgenabschaetzung.md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Anhang J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Konfigurations- und Versionsprotokoll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14_konfigurations_logfile_auszug.md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Anhang 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Bewerber-Beschwerde (Beispiel)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15_bewerber_beschwerde.md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7. Unterzeichnung (Vorlage)</w:t>
      </w:r>
    </w:p>
    <w:p>
      <w:pPr>
        <w:jc w:val="left"/>
      </w:pPr>
      <w:r>
        <w:t>Ort, Datum: Koeln, [TT.MM.JJJJ]</w:t>
      </w:r>
    </w:p>
    <w:p>
      <w:pPr>
        <w:jc w:val="left"/>
      </w:pPr>
      <w:r>
        <w:t>Für die BewerberPilot Score GmbH</w:t>
      </w:r>
    </w:p>
    <w:p/>
    <w:p>
      <w:pPr>
        <w:jc w:val="left"/>
      </w:pPr>
      <w:r>
        <w:t>Miriam Dornfeld</w:t>
      </w:r>
    </w:p>
    <w:p>
      <w:pPr>
        <w:jc w:val="left"/>
      </w:pPr>
      <w:r>
        <w:t>Geschäftsführerin</w:t>
      </w:r>
    </w:p>
    <w:p/>
    <w:p>
      <w:pPr>
        <w:jc w:val="left"/>
      </w:pPr>
      <w:r>
        <w:t>Dr. Caspar Lintorf</w:t>
      </w:r>
    </w:p>
    <w:p>
      <w:pPr>
        <w:jc w:val="left"/>
      </w:pPr>
      <w:r>
        <w:t>Compliance Officer</w:t>
      </w:r>
    </w:p>
    <w:p>
      <w:pPr>
        <w:jc w:val="left"/>
      </w:pPr>
      <w:r>
        <w:rPr>
          <w:b/>
        </w:rPr>
        <w:t>Entwurfsstatus:</w:t>
      </w:r>
      <w:r>
        <w:t xml:space="preserve"> Dieses Dokument ist intern vorbereitet, aber wegen der offenen Lücken nicht unterschrifts- oder ausgabereif. Eine Unterzeichnung ist nach gegenwärtigem Stand </w:t>
      </w:r>
      <w:r>
        <w:rPr>
          <w:b/>
        </w:rPr>
        <w:t>nicht vor dem 21.07.2026</w:t>
      </w:r>
      <w:r>
        <w:t xml:space="preserve"> möglich (15.07.2026 QMS-Audit-Schliessung + 06.07.2026 Schliessung Bias-Massnahmen + 07.06.2026 LexiCore-Nachweis + Reservetage).</w:t>
      </w:r>
    </w:p>
    <w:p/>
    <w:p>
      <w:pPr>
        <w:pStyle w:val="Heading2"/>
      </w:pPr>
      <w:r>
        <w:rPr>
          <w:rFonts w:ascii="Times New Roman" w:hAnsi="Times New Roman"/>
        </w:rPr>
        <w:t>Begleitnotiz zur Unterzeichnungsstrategie</w:t>
      </w:r>
    </w:p>
    <w:p>
      <w:pPr>
        <w:pStyle w:val="Heading3"/>
      </w:pPr>
      <w:r>
        <w:rPr>
          <w:rFonts w:ascii="Times New Roman" w:hAnsi="Times New Roman"/>
        </w:rPr>
        <w:t>Empfehlung Compliance</w:t>
      </w:r>
    </w:p>
    <w:p>
      <w:pPr>
        <w:pStyle w:val="ListNumber"/>
      </w:pPr>
      <w:r>
        <w:t xml:space="preserve">Eine Unterzeichnung der EU-Konformitätserklärung erfolgt </w:t>
      </w:r>
      <w:r>
        <w:rPr>
          <w:b/>
        </w:rPr>
        <w:t>erst</w:t>
      </w:r>
      <w:r>
        <w:t>, wenn alle blockierenden Lücken aus 10_lueckenliste_massnahmenplan.md geschlossen sind.</w:t>
      </w:r>
    </w:p>
    <w:p>
      <w:pPr>
        <w:pStyle w:val="ListNumber"/>
      </w:pPr>
      <w:r>
        <w:t>Vor Unterzeichnung erfolgt eine letzte Pruefung durch Compliance Officer Dr. Lintorf und durch die externe Anwaltskanzlei Stern &amp; Partner mbB.</w:t>
      </w:r>
    </w:p>
    <w:p>
      <w:pPr>
        <w:pStyle w:val="ListNumber"/>
      </w:pPr>
      <w:r>
        <w:t>Die Unterzeichnung wird im Compliance-Register vermerkt und in der EU-Datenbank gemäß Art. 49 KI-VO registriert.</w:t>
      </w:r>
    </w:p>
    <w:p>
      <w:pPr>
        <w:pStyle w:val="Heading3"/>
      </w:pPr>
      <w:r>
        <w:rPr>
          <w:rFonts w:ascii="Times New Roman" w:hAnsi="Times New Roman"/>
        </w:rPr>
        <w:t>Bezug zum Pilotvertrag mit Elbtal Klinikservice gGmbH</w:t>
      </w:r>
    </w:p>
    <w:p>
      <w:pPr>
        <w:jc w:val="left"/>
      </w:pPr>
      <w:r>
        <w:t>Der Pilotvertrag (Pilotstart 01.08.2026) sieht vor, dass vor Pilotbeginn die EU-Konformitätserklärung unterzeichnet vorliegt. Wenn der Zeitplan nicht zu halten ist, ist eine Pilotbeginn-Verschiebung anzukündigen.</w:t>
      </w:r>
    </w:p>
    <w:p>
      <w:pPr>
        <w:pStyle w:val="Heading3"/>
      </w:pPr>
      <w:r>
        <w:rPr>
          <w:rFonts w:ascii="Times New Roman" w:hAnsi="Times New Roman"/>
        </w:rPr>
        <w:t>Risiken einer verfrühten Unterzeichnung</w:t>
      </w:r>
    </w:p>
    <w:p>
      <w:pPr>
        <w:pStyle w:val="ListBullet"/>
      </w:pPr>
      <w:r>
        <w:t>Falsche Erklärung im Sinne von Art. 99 KI-VO (Bussgelder bis 35 Mio. EUR oder 7 % des weltweiten Jahresumsatzes).</w:t>
      </w:r>
    </w:p>
    <w:p>
      <w:pPr>
        <w:pStyle w:val="ListBullet"/>
      </w:pPr>
      <w:r>
        <w:t>Persönliche Haftung der Geschäftsführerin nach allgemeinem Schuldrecht.</w:t>
      </w:r>
    </w:p>
    <w:p>
      <w:pPr>
        <w:pStyle w:val="ListBullet"/>
      </w:pPr>
      <w:r>
        <w:t>Reputationsschaden.</w:t>
      </w:r>
    </w:p>
    <w:p>
      <w:pPr>
        <w:pStyle w:val="Heading3"/>
      </w:pPr>
      <w:r>
        <w:rPr>
          <w:rFonts w:ascii="Times New Roman" w:hAnsi="Times New Roman"/>
        </w:rPr>
        <w:t>Alternative</w:t>
      </w:r>
    </w:p>
    <w:p>
      <w:pPr>
        <w:pStyle w:val="ListBullet"/>
      </w:pPr>
      <w:r>
        <w:t xml:space="preserve">Statt einer EU-Konformitätserklärung wird der Pilotbetrieb als "kontrollierter Pilot ohne CE-Marktbereitstellung" geführt, mit einer </w:t>
      </w:r>
      <w:r>
        <w:rPr>
          <w:b/>
        </w:rPr>
        <w:t>Readiness-Bescheinigung</w:t>
      </w:r>
      <w:r>
        <w:t xml:space="preserve"> statt einer Konformitaetsbescheinigung. Diese Variante ist im Anhang G (Konformitätsvermerk) dokumentiert.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BewerberPilot Score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BewerberPilot Score GmbH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Koeln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