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2"/>
          <w:sz w:val="26"/>
        </w:rPr>
        <w:t>TechLogix GmbH</w:t>
      </w:r>
    </w:p>
    <w:p>
      <w:r>
        <w:t>Tempelhofer Damm 18, 12099 Berlin</w:t>
      </w:r>
    </w:p>
    <w:p/>
    <w:p>
      <w:r>
        <w:t>An den Betriebsrat</w:t>
      </w:r>
    </w:p>
    <w:p>
      <w:r>
        <w:t>z. Hd. Herrn Torsten Hähnel, Vorsitzender</w:t>
      </w:r>
    </w:p>
    <w:p>
      <w:r>
        <w:t>TechLogix GmbH, Tempelhofer Damm 18, 12099 Berlin</w:t>
      </w:r>
    </w:p>
    <w:p/>
    <w:p>
      <w:r>
        <w:t>Berlin, 25. April 2026</w:t>
      </w:r>
    </w:p>
    <w:p>
      <w:r>
        <w:t>Eingangsstempel Betriebsrat: 28. April 2026, 16:42 Uhr</w:t>
      </w:r>
    </w:p>
    <w:p/>
    <w:p>
      <w:r>
        <w:rPr>
          <w:b/>
        </w:rPr>
        <w:t>Anhörung nach Paragraf 102 BetrVG</w:t>
      </w:r>
    </w:p>
    <w:p>
      <w:r>
        <w:t>beabsichtigte ordentliche betriebsbedingte Kündigung Marcus Weber</w:t>
      </w:r>
    </w:p>
    <w:p/>
    <w:p>
      <w:r>
        <w:t>Sehr geehrter Herr Hähnel,</w:t>
      </w:r>
    </w:p>
    <w:p>
      <w:r>
        <w:t>wir beabsichtigen, das Arbeitsverhältnis mit Herrn Marcus Weber, Senior IT-Administrator, ordentlich zu kündigen. Herr Weber ist seit dem 01. März 2018 bei der TechLogix GmbH beschäftigt und erhält derzeit ein monatliches Bruttogehalt von 4.850,00 Euro.</w:t>
      </w:r>
    </w:p>
    <w:p>
      <w:r>
        <w:t>Kündigungsgrund ist die Auslagerung des internen IT-Betriebs an DataFlow Solutions GmbH. Nach dem Beschluss der Geschäftsführung sollen Serverbetrieb, Benutzerverwaltung, First-Level-Störungsannahme und Backup-Monitoring künftig extern erbracht werden. Die Stelle von Herrn Weber entfällt nach unserer Planung dauerhaft.</w:t>
      </w:r>
    </w:p>
    <w:p>
      <w:r>
        <w:t>Als vergleichbare Beschäftigte wurden Herr Nils Grunewald und Frau Petra Sonnleitner betrachtet. Herr Grunewald soll wegen seiner Aufgaben in der Netzwerksicherheit nicht in die Vergleichsgruppe fallen. Frau Sonnleitner soll wegen ihrer Tätigkeit im Lizenzmanagement und ihrer Schwerbehinderung nicht gekündigt werden. Eine gesonderte Punktetabelle wurde dem Betriebsrat nicht übermittelt.</w:t>
      </w:r>
    </w:p>
    <w:p>
      <w:r>
        <w:t>Nach vorläufiger Prüfung bestehen keine freien Arbeitsplätze, auf denen Herr Weber zu unveränderten oder geänderten Bedingungen weiterbeschäftigt werden kann. Eine Weiterqualifizierung für den Bereich Kundenintegration wird derzeit nicht angeboten.</w:t>
      </w:r>
    </w:p>
    <w:p>
      <w:r>
        <w:t>Wir bitten um Stellungnahme innerhalb der gesetzlichen Frist.</w:t>
      </w:r>
    </w:p>
    <w:p/>
    <w:p>
      <w:r>
        <w:t>Mit freundlichen Grüßen</w:t>
      </w:r>
    </w:p>
    <w:p>
      <w:r>
        <w:rPr>
          <w:b/>
          <w:color w:val="1E3A52"/>
          <w:sz w:val="26"/>
        </w:rPr>
        <w:t>TechLogix GmbH</w:t>
      </w:r>
    </w:p>
    <w:p>
      <w:r>
        <w:t>Anja Kreutzfeldt</w:t>
      </w:r>
    </w:p>
    <w:p>
      <w:r>
        <w:t>Geschäftsführerin</w:t>
      </w:r>
    </w:p>
    <w:p/>
    <w:p>
      <w:r>
        <w:rPr>
          <w:b/>
        </w:rPr>
        <w:t>Kanzleivermerk Weber vom 07. Mai 2026:</w:t>
      </w:r>
    </w:p>
    <w:p>
      <w:r>
        <w:t>Die Anhörung ist vollständig als Abschrift vorhanden, bleibt aber angreifbar: Eingang erst am 28. April 2026, 16:42 Uhr, Kündigungsschreiben vom selben Tag, Zugang beim Arbeitnehmer am 30. April 2026. Die Sozialauswahl bleibt pauschal; Punktetabelle, Altersdaten, Unterhaltspflichten und konkrete Vergleichsdaten fehlen.</w:t>
      </w:r>
    </w:p>
    <w:sectPr w:rsidR="00FC693F" w:rsidRPr="0006063C" w:rsidSect="00034616">
      <w:footerReference w:type="default" r:id="rId9"/>
      <w:headerReference w:type="default" r:id="rId10"/>
      <w:pgSz w:w="11906" w:h="16838"/>
      <w:pgMar w:top="822" w:right="1134" w:bottom="822"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TechLogix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TechLogix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