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Rotorwerk Praezisionstechnik GmbH ./. NordLease Maschinen-Leasing GmbH - Az. 4 O 218/26 LG Bielefeld</w:t>
      </w:r>
    </w:p>
    <w:p>
      <w:pPr>
        <w:pStyle w:val="Heading1"/>
      </w:pPr>
      <w:r>
        <w:t>Unabhaengiges Zweitgutachten zum Restwert (Sachverstaendigenbuero Klawitter, Bielefeld)</w:t>
      </w:r>
    </w:p>
    <w:p>
      <w:r>
        <w:t>Auf Wunsch der Rotorwerk Praezisionstechnik GmbH beauftragtes Zweitgutachten vom 12.02.2026, erstellt von Dipl.-Ing. Renate Klawitter zur Ueberpruefung des DEKRA-Gutachtens Nr. DEKRA-MB-2026-0334.</w:t>
      </w:r>
    </w:p>
    <w:p>
      <w:pPr>
        <w:pStyle w:val="Heading2"/>
      </w:pPr>
      <w:r>
        <w:t>Ergebnis</w:t>
      </w:r>
    </w:p>
    <w:p>
      <w:r>
        <w:t>Die Gutachterin bestaetigt im Wesentlichen die Bandbreite des DEKRA-Gutachtens, haelt jedoch bei den Objekten 3 und 8 (Softwarefehler) einen um ca. EUR 3.000,00 je Objekt hoeheren Marktwert fuer vertretbar, da der Fehler nachweislich auf eine Lizenzsperre und nicht auf einen technischen Defekt zurueckzufuehren war und binnen Tagen reversibel ist. Korrigierter Gesamtwert: EUR 265.700,00 (Differenz EUR 6.000,00 gegenueber DEKRA).</w:t>
      </w:r>
    </w:p>
    <w:p>
      <w:pPr>
        <w:pStyle w:val="Heading2"/>
      </w:pPr>
      <w:r>
        <w:t>Empfehlung</w:t>
      </w:r>
    </w:p>
    <w:p>
      <w:r>
        <w:t>Die Gutachterin empfiehlt, den Wertunterschied bei den Verwertungsverhandlungen mit einem Zweitkaeufer als Verhandlungsspielraum zu beruecksichtigen, nicht jedoch als bindende Untergrenze.</w:t>
      </w:r>
    </w:p>
    <w:sectPr w:rsidR="00FC693F" w:rsidRPr="0006063C" w:rsidSect="00034616">
      <w:headerReference w:type="default" r:id="rId9"/>
      <w:footerReference w:type="default" r:id="rId10"/>
      <w:pgSz w:w="12240" w:h="15840"/>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Rotorwerk Praezisionstechnik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Rotorwerk Praezisionstechnik GmbH</w:t>
    </w:r>
  </w:p>
  <w:p>
    <w:pPr>
      <w:jc w:val="left"/>
      <w:pBdr>
        <w:bottom w:val="single" w:sz="6" w:space="2" w:color="3B3F45"/>
      </w:pBdr>
    </w:pPr>
    <w:r>
      <w:rPr>
        <w:rFonts w:ascii="Times New Roman" w:hAnsi="Times New Roman"/>
        <w:color w:val="6B6B66"/>
        <w:sz w:val="16"/>
      </w:rPr>
      <w:t>Unternehmen · Az. 4 O 218/26 LG Bielefeld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