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Nationaler Normenkontrollrat — Stellungnahme</w:t>
      </w:r>
    </w:p>
    <w:p>
      <w:pPr>
        <w:jc w:val="left"/>
      </w:pPr>
      <w:r>
        <w:rPr>
          <w:b/>
        </w:rPr>
        <w:t>Aktenzeichen:</w:t>
      </w:r>
      <w:r>
        <w:t xml:space="preserve"> NKR-Nr. 6857</w:t>
      </w:r>
    </w:p>
    <w:p>
      <w:pPr>
        <w:jc w:val="left"/>
      </w:pPr>
      <w:r>
        <w:rPr>
          <w:b/>
        </w:rPr>
        <w:t>Gesetzentwurf:</w:t>
      </w:r>
      <w:r>
        <w:t xml:space="preserve"> Entwurf eines Gesetzes über das elektronische Pflichtpostfach (Pflichtpostfachgesetz — PflPostG) und zur Änderung weiterer Gesetze</w:t>
      </w:r>
    </w:p>
    <w:p>
      <w:pPr>
        <w:jc w:val="left"/>
      </w:pPr>
      <w:r>
        <w:rPr>
          <w:b/>
        </w:rPr>
        <w:t>Stand des Entwurfs:</w:t>
      </w:r>
      <w:r>
        <w:t xml:space="preserve"> Referentenentwurf vom 12.11.2026</w:t>
      </w:r>
    </w:p>
    <w:p>
      <w:pPr>
        <w:jc w:val="left"/>
      </w:pPr>
      <w:r>
        <w:rPr>
          <w:b/>
        </w:rPr>
        <w:t>Federführung:</w:t>
      </w:r>
      <w:r>
        <w:t xml:space="preserve"> Bundesministerium der Justiz, Referat I A 4</w:t>
      </w:r>
    </w:p>
    <w:p>
      <w:pPr>
        <w:jc w:val="left"/>
      </w:pPr>
      <w:r>
        <w:t>Berlin, den 19. Dezember 2026</w:t>
      </w:r>
    </w:p>
    <w:p/>
    <w:p>
      <w:pPr>
        <w:pStyle w:val="Heading2"/>
      </w:pPr>
      <w:r>
        <w:rPr>
          <w:rFonts w:ascii="Times New Roman" w:hAnsi="Times New Roman"/>
        </w:rPr>
        <w:t>Stellungnahme des Nationalen Normenkontrollrates gemäß § 6 Absatz 1 NKRG</w:t>
      </w:r>
    </w:p>
    <w:p>
      <w:pPr>
        <w:jc w:val="left"/>
      </w:pPr>
      <w:r>
        <w:t>Der Nationale Normenkontrollrat hat den Entwurf gemäß § 4 des Gesetzes zur Einsetzung eines Nationalen Normenkontrollrates (NKRG) auf seinen Erfüllungsaufwand für Bürgerinnen und Bürger, für die Wirtschaft und für die Verwaltung geprüft.</w:t>
      </w:r>
    </w:p>
    <w:p/>
    <w:p>
      <w:pPr>
        <w:pStyle w:val="Heading2"/>
      </w:pPr>
      <w:r>
        <w:rPr>
          <w:rFonts w:ascii="Times New Roman" w:hAnsi="Times New Roman"/>
        </w:rPr>
        <w:t>I. Zusammenfassung</w:t>
      </w:r>
    </w:p>
    <w:p>
      <w:pPr>
        <w:pStyle w:val="ListNumber"/>
      </w:pPr>
      <w:r>
        <w:t>Der NKR begrüßt die Zielsetzung des Entwurfs, einen bundeseinheitlichen Rechtsrahmen für die elektronische Rechtskommunikation mit Wirtschaftsteilnehmern und sehr großen Online-Plattformen zu schaffen.</w:t>
      </w:r>
    </w:p>
    <w:p>
      <w:pPr>
        <w:pStyle w:val="ListNumber"/>
      </w:pPr>
      <w:r>
        <w:t>Der Entwurf folgt dem Verfassungs- und unionsrechtlichen Rahmen und vermeidet — durch ausdrücklichen Verweis auf die DSA-Schwelle — eine ungerechtfertigte Schlechterstellung sehr großer Online-Plattformen-Anbieter ("no Goldplating").</w:t>
      </w:r>
    </w:p>
    <w:p>
      <w:pPr>
        <w:pStyle w:val="ListNumber"/>
      </w:pPr>
      <w:r>
        <w:t>Der dargestellte Erfüllungsaufwand ist plausibel und methodisch nachvollziehbar. Die KMU-Wertung erfolgt im Sinne der Bundesregierungs-Praxis (§ 30 NKRG).</w:t>
      </w:r>
    </w:p>
    <w:p>
      <w:pPr>
        <w:pStyle w:val="ListNumber"/>
      </w:pPr>
      <w:r>
        <w:t>Der NKR erhebt keine Einwände gegen den dargestellten Erfüllungsaufwand.</w:t>
      </w:r>
    </w:p>
    <w:p>
      <w:pPr>
        <w:pStyle w:val="ListNumber"/>
      </w:pPr>
      <w:r>
        <w:t>Die im Rahmen der One in, one out-Regel zu kompensierenden Mehrkosten für die Wirtschaft betragen jährlich rund 89 Mio. Euro. Die Kompensation ist im Geschäftsbereich des BMJ darzulegen.</w:t>
      </w:r>
    </w:p>
    <w:p>
      <w:pPr>
        <w:pStyle w:val="ListNumber"/>
      </w:pPr>
      <w:r>
        <w:t>Der NKR empfiehlt eine angemessene Evaluierung fünf Jahre nach Inkrafttreten, deren Ergebnisse er erwartet.</w:t>
      </w:r>
    </w:p>
    <w:p/>
    <w:p>
      <w:pPr>
        <w:pStyle w:val="Heading2"/>
      </w:pPr>
      <w:r>
        <w:rPr>
          <w:rFonts w:ascii="Times New Roman" w:hAnsi="Times New Roman"/>
        </w:rPr>
        <w:t>II. Im Einzelnen</w:t>
      </w:r>
    </w:p>
    <w:p>
      <w:pPr>
        <w:pStyle w:val="Heading3"/>
      </w:pPr>
      <w:r>
        <w:rPr>
          <w:rFonts w:ascii="Times New Roman" w:hAnsi="Times New Roman"/>
        </w:rPr>
        <w:t>1. Erfüllungsaufwand für Bürgerinnen und Bürger</w:t>
      </w:r>
    </w:p>
    <w:p>
      <w:pPr>
        <w:jc w:val="left"/>
      </w:pPr>
      <w:r>
        <w:t>Kein Erfüllungsaufwand. Bürgerinnen und Bürger sind nicht Adressaten der Verpflichtung. Die Annahme ist plausibel.</w:t>
      </w:r>
    </w:p>
    <w:p>
      <w:pPr>
        <w:pStyle w:val="Heading3"/>
      </w:pPr>
      <w:r>
        <w:rPr>
          <w:rFonts w:ascii="Times New Roman" w:hAnsi="Times New Roman"/>
        </w:rPr>
        <w:t>2. Erfüllungsaufwand für die Wirtschaft</w:t>
      </w:r>
    </w:p>
    <w:p>
      <w:pPr>
        <w:pStyle w:val="Heading3"/>
      </w:pPr>
      <w:r>
        <w:rPr>
          <w:rFonts w:ascii="Times New Roman" w:hAnsi="Times New Roman"/>
        </w:rPr>
        <w:t>2.1 HReg-Gesellschaften und Zweigniederlassungen (rund 1,3 Mio. Verpflichtete)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Einmalig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Jährlich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Einrichtung Pflichtpostfach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312 Mio. Euro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Pflege, Abruf und Sicherung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89 Mio. Euro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Bürokratiekosten aus Informationspflichten (SKM-Methode)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8 Mio. Euro</w:t>
            </w:r>
          </w:p>
        </w:tc>
      </w:tr>
    </w:tbl>
    <w:p>
      <w:pPr>
        <w:jc w:val="left"/>
      </w:pPr>
      <w:r>
        <w:rPr>
          <w:b/>
        </w:rPr>
        <w:t>Bewertung NKR</w:t>
      </w:r>
      <w:r>
        <w:t>: Der dargestellte Aufwand ist plausibel.</w:t>
      </w:r>
    </w:p>
    <w:p>
      <w:pPr>
        <w:pStyle w:val="ListBullet"/>
      </w:pPr>
      <w:r>
        <w:t>Einrichtungskosten: 240 Euro je Gesellschaft sind realistisch; sie liegen im Marktstandard für eine Anbindung an ein elektronisches Postfach mit Authentifizierungs-Niveau "hoch".</w:t>
      </w:r>
    </w:p>
    <w:p>
      <w:pPr>
        <w:pStyle w:val="ListBullet"/>
      </w:pPr>
      <w:r>
        <w:t>Laufende Kosten: 70 Euro pro Gesellschaft entsprechen einer Mischung aus Lizenz-Gebühren, Mitarbeiter-Zeitaufwand für werktägliche Prüfung und Sicherung.</w:t>
      </w:r>
    </w:p>
    <w:p>
      <w:pPr>
        <w:pStyle w:val="ListBullet"/>
      </w:pPr>
      <w:r>
        <w:t>Informationspflichten: 8 Mio. Euro jährlich aus der HR-Anmeldung der Postfachadresse ist konservativ geschätzt.</w:t>
      </w:r>
    </w:p>
    <w:p>
      <w:pPr>
        <w:pStyle w:val="Heading3"/>
      </w:pPr>
      <w:r>
        <w:rPr>
          <w:rFonts w:ascii="Times New Roman" w:hAnsi="Times New Roman"/>
        </w:rPr>
        <w:t>2.2 Anbieter sehr großer Online-Plattformen und sehr großer Online-Suchmaschinen (rund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Einmalig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Jährlich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Einrichtung Pflichtpostfach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76 Mio. Euro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9,5 Mio. Euro</w:t>
            </w:r>
          </w:p>
        </w:tc>
      </w:tr>
    </w:tbl>
    <w:p>
      <w:pPr>
        <w:jc w:val="left"/>
      </w:pPr>
      <w:r>
        <w:rPr>
          <w:b/>
        </w:rPr>
        <w:t>Bewertung NKR</w:t>
      </w:r>
      <w:r>
        <w:t>: Die Kosten je Anbieter (4 Mio. Euro einmalig, 0,5 Mio. Euro jährlich) sind vergleichsweise hoch, aber gerechtfertigt durch die Komplexität internationaler Plattform-Strukturen, die Sprachen-Vielfalt und die Compliance-Investitionen.</w:t>
      </w:r>
    </w:p>
    <w:p>
      <w:pPr>
        <w:pStyle w:val="Heading3"/>
      </w:pPr>
      <w:r>
        <w:rPr>
          <w:rFonts w:ascii="Times New Roman" w:hAnsi="Times New Roman"/>
        </w:rPr>
        <w:t>2.3 KMU-Wertung</w:t>
      </w:r>
    </w:p>
    <w:p>
      <w:pPr>
        <w:jc w:val="left"/>
      </w:pPr>
      <w:r>
        <w:t>Eine differenzierte Betrachtung kleiner und mittlerer Unternehmen ist im NKR-Bericht erfolgt.</w:t>
      </w:r>
    </w:p>
    <w:p>
      <w:pPr>
        <w:pStyle w:val="ListBullet"/>
      </w:pPr>
      <w:r>
        <w:t>KMU-Anteil unter HReg-Gesellschaften: rund 80 % (≈ 1 Mio. KMU).</w:t>
      </w:r>
    </w:p>
    <w:p>
      <w:pPr>
        <w:pStyle w:val="ListBullet"/>
      </w:pPr>
      <w:r>
        <w:t>Mehrkosten je KMU: 240 Euro einmalig, 70 Euro jährlich.</w:t>
      </w:r>
    </w:p>
    <w:p>
      <w:pPr>
        <w:pStyle w:val="ListBullet"/>
      </w:pPr>
      <w:r>
        <w:t>Wertschöpfungs-Anteil je KMU: typisch unter 0,1 % des Jahresumsatzes.</w:t>
      </w:r>
    </w:p>
    <w:p>
      <w:pPr>
        <w:jc w:val="left"/>
      </w:pPr>
      <w:r>
        <w:t>Eine Befreiung kleiner GmbHs (Bilanzsumme bis 6 Mio. Euro) wurde geprüft und im Hinblick auf die Wahrung der Rechtssicherheit und die Beweis-Funktion verworfen. Die verlängerte Übergangsfrist von 24 Monaten federt die Belastung ab.</w:t>
      </w:r>
    </w:p>
    <w:p>
      <w:pPr>
        <w:pStyle w:val="Heading3"/>
      </w:pPr>
      <w:r>
        <w:rPr>
          <w:rFonts w:ascii="Times New Roman" w:hAnsi="Times New Roman"/>
        </w:rPr>
        <w:t>3. Erfüllungsaufwand der Verwaltung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Ebene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Einmalig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Jährlich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24 Mio. Euro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6 Mio. Euro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18 Mio. Euro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rund 4 Mio. Euro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Kommunen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</w:tbl>
    <w:p>
      <w:pPr>
        <w:jc w:val="left"/>
      </w:pPr>
      <w:r>
        <w:rPr>
          <w:b/>
        </w:rPr>
        <w:t>Bewertung NKR</w:t>
      </w:r>
      <w:r>
        <w:t>: Die Verwaltungskosten sind plausibel. Die Investition in die zentrale Verzeichnisinfrastruktur (Bund) ist im Rahmen des notwendigen Aufwands. Die Länder-Kosten betreffen Anpassungen an Justiz-Fachverfahren und sind konsistent mit Vergleichswerten aus früheren Justiz-Digitalisierungs-Vorhaben.</w:t>
      </w:r>
    </w:p>
    <w:p>
      <w:pPr>
        <w:pStyle w:val="Heading3"/>
      </w:pPr>
      <w:r>
        <w:rPr>
          <w:rFonts w:ascii="Times New Roman" w:hAnsi="Times New Roman"/>
        </w:rPr>
        <w:t>4. "One in, one out"-Regel</w:t>
      </w:r>
    </w:p>
    <w:p>
      <w:pPr>
        <w:jc w:val="left"/>
      </w:pPr>
      <w:r>
        <w:t>Der einmalige Erfüllungsaufwand von 312 Mio. Euro ist als Investition zu klassifizieren und unterliegt nicht der One in, one out-Regel.</w:t>
      </w:r>
    </w:p>
    <w:p>
      <w:pPr>
        <w:jc w:val="left"/>
      </w:pPr>
      <w:r>
        <w:t>Der laufende Erfüllungsaufwand von rund 89 Mio. Euro pro Jahr unterliegt der One in, one out-Regel.</w:t>
      </w:r>
    </w:p>
    <w:p>
      <w:pPr>
        <w:jc w:val="left"/>
      </w:pPr>
      <w:r>
        <w:rPr>
          <w:b/>
        </w:rPr>
        <w:t>Empfehlung</w:t>
      </w:r>
      <w:r>
        <w:t>: Eine Kompensation ist im Bereich des BMJ vorzusehen. Mögliche Kompensations-Vorhaben:</w:t>
      </w:r>
    </w:p>
    <w:p>
      <w:pPr>
        <w:pStyle w:val="ListBullet"/>
      </w:pPr>
      <w:r>
        <w:t>Abschaffung der papierbasierten Vorlage von Handelsregister-Anmeldungen (Übergang zum vollständig elektronischen Anmeldungs-Verfahren).</w:t>
      </w:r>
    </w:p>
    <w:p>
      <w:pPr>
        <w:pStyle w:val="ListBullet"/>
      </w:pPr>
      <w:r>
        <w:t>Reduktion der Aufbewahrungs-Pflicht für Handelsbücher (HGB § 257) auf 6 Jahre (statt 10).</w:t>
      </w:r>
    </w:p>
    <w:p>
      <w:pPr>
        <w:pStyle w:val="ListBullet"/>
      </w:pPr>
      <w:r>
        <w:t>Wegfall der HReg-Veröffentlichungs-Pflicht im Bundesanzeiger (Übergang zur ausschließlich elektronischen Veröffentlichung).</w:t>
      </w:r>
    </w:p>
    <w:p>
      <w:pPr>
        <w:pStyle w:val="Heading3"/>
      </w:pPr>
      <w:r>
        <w:rPr>
          <w:rFonts w:ascii="Times New Roman" w:hAnsi="Times New Roman"/>
        </w:rPr>
        <w:t>5. Methodische Aspekte</w:t>
      </w:r>
    </w:p>
    <w:p>
      <w:pPr>
        <w:jc w:val="left"/>
      </w:pPr>
      <w:r>
        <w:t>Der Entwurf wurde nach den Standard-Methoden zur Erfüllungsaufwand-Berechnung erstellt:</w:t>
      </w:r>
    </w:p>
    <w:p>
      <w:pPr>
        <w:pStyle w:val="ListBullet"/>
      </w:pPr>
      <w:r>
        <w:rPr>
          <w:b/>
        </w:rPr>
        <w:t>SKM (Standard-Kostenmodell)</w:t>
      </w:r>
      <w:r>
        <w:t xml:space="preserve"> für Bürokratie-Kosten aus Informationspflichten.</w:t>
      </w:r>
    </w:p>
    <w:p>
      <w:pPr>
        <w:pStyle w:val="ListBullet"/>
      </w:pPr>
      <w:r>
        <w:rPr>
          <w:b/>
        </w:rPr>
        <w:t>Vollkosten-Methode</w:t>
      </w:r>
      <w:r>
        <w:t xml:space="preserve"> für einmaligen Erfüllungsaufwand.</w:t>
      </w:r>
    </w:p>
    <w:p>
      <w:pPr>
        <w:pStyle w:val="ListBullet"/>
      </w:pPr>
      <w:r>
        <w:rPr>
          <w:b/>
        </w:rPr>
        <w:t>Lohnkosten-Klassifizierung</w:t>
      </w:r>
      <w:r>
        <w:t xml:space="preserve"> gemäß Lohnkosten-Tabelle der Bundesregierung (Stand 2025) für Mitarbeiter-Zeitaufwand.</w:t>
      </w:r>
    </w:p>
    <w:p>
      <w:pPr>
        <w:jc w:val="left"/>
      </w:pPr>
      <w:r>
        <w:t>Die Berechnungs-Grundlagen sind transparent dargestellt.</w:t>
      </w:r>
    </w:p>
    <w:p>
      <w:pPr>
        <w:pStyle w:val="Heading3"/>
      </w:pPr>
      <w:r>
        <w:rPr>
          <w:rFonts w:ascii="Times New Roman" w:hAnsi="Times New Roman"/>
        </w:rPr>
        <w:t>6. Verzahnung mit unionsrechtlichen Vorgaben</w:t>
      </w:r>
    </w:p>
    <w:p>
      <w:pPr>
        <w:jc w:val="left"/>
      </w:pPr>
      <w:r>
        <w:t>Der NKR begrüßt, dass der Entwurf die Schwelle der sehr großen Online-Plattformen (45 Mio. Nutzer EU) direkt aus dem DSA übernimmt und keine eigene nationale Schwelle einführt. Dies ist im Sinne des "no Goldplating" und der Vereinfachungs-Initiative der Bundesregierung.</w:t>
      </w:r>
    </w:p>
    <w:p>
      <w:pPr>
        <w:pStyle w:val="Heading3"/>
      </w:pPr>
      <w:r>
        <w:rPr>
          <w:rFonts w:ascii="Times New Roman" w:hAnsi="Times New Roman"/>
        </w:rPr>
        <w:t>7. Evaluierung</w:t>
      </w:r>
    </w:p>
    <w:p>
      <w:pPr>
        <w:jc w:val="left"/>
      </w:pPr>
      <w:r>
        <w:t>Eine Evaluierung 5 Jahre nach Inkrafttreten ist im Entwurf vorgesehen. Der NKR begrüßt dies und erwartet, dass die Evaluierung folgende Aspekte umfasst:</w:t>
      </w:r>
    </w:p>
    <w:p>
      <w:pPr>
        <w:pStyle w:val="ListBullet"/>
      </w:pPr>
      <w:r>
        <w:t>Tatsächliche Adoptions-Quote des Pflichtpostfachs in der Wirtschaft.</w:t>
      </w:r>
    </w:p>
    <w:p>
      <w:pPr>
        <w:pStyle w:val="ListBullet"/>
      </w:pPr>
      <w:r>
        <w:t>Reduktion des Erfüllungsaufwands gegenüber bisheriger Praxis (Status quo).</w:t>
      </w:r>
    </w:p>
    <w:p>
      <w:pPr>
        <w:pStyle w:val="ListBullet"/>
      </w:pPr>
      <w:r>
        <w:t>Funktion der Interoperabilität mit den bestehenden Postfächern.</w:t>
      </w:r>
    </w:p>
    <w:p>
      <w:pPr>
        <w:pStyle w:val="ListBullet"/>
      </w:pPr>
      <w:r>
        <w:t>Wirksamkeit der Bußgeld-Vorschrift.</w:t>
      </w:r>
    </w:p>
    <w:p>
      <w:pPr>
        <w:pStyle w:val="ListBullet"/>
      </w:pPr>
      <w:r>
        <w:t>Erkenntnisse zur Anwendung auf Plattform-Anbieter.</w:t>
      </w:r>
    </w:p>
    <w:p>
      <w:pPr>
        <w:pStyle w:val="ListBullet"/>
      </w:pPr>
      <w:r>
        <w:t>ggf. Anpassungsbedarf an aktuelle technische Entwicklungen (KI-Zustellung, eIDAS-Wallet).</w:t>
      </w:r>
    </w:p>
    <w:p>
      <w:pPr>
        <w:pStyle w:val="Heading3"/>
      </w:pPr>
      <w:r>
        <w:rPr>
          <w:rFonts w:ascii="Times New Roman" w:hAnsi="Times New Roman"/>
        </w:rPr>
        <w:t>8. Stellungnahme zur Sprachform</w:t>
      </w:r>
    </w:p>
    <w:p>
      <w:pPr>
        <w:jc w:val="left"/>
      </w:pPr>
      <w:r>
        <w:t>Der Entwurf folgt dem Handbuch der Rechtsförmlichkeit (HdR) und ist gut verständlich. Die Bezeichnung "Pflichtpostfach" ist eingängig und intuitiv.</w:t>
      </w:r>
    </w:p>
    <w:p>
      <w:pPr>
        <w:jc w:val="left"/>
      </w:pPr>
      <w:r>
        <w:t>Empfehlung: § 1 Abs. 2 (Verwendungs-Zwecke) sollte um die ausdrückliche Erwähnung der Übermittlung durch beA / beBPo / eBO ergänzt werden, um die Interoperabilitäts-Funktion sichtbar zu machen.</w:t>
      </w:r>
    </w:p>
    <w:p/>
    <w:p>
      <w:pPr>
        <w:pStyle w:val="Heading2"/>
      </w:pPr>
      <w:r>
        <w:rPr>
          <w:rFonts w:ascii="Times New Roman" w:hAnsi="Times New Roman"/>
        </w:rPr>
        <w:t>III. Empfehlungen des NKR</w:t>
      </w:r>
    </w:p>
    <w:p>
      <w:pPr>
        <w:jc w:val="left"/>
      </w:pPr>
      <w:r>
        <w:t>Auf Grundlage der Prüfung gibt der NKR folgende Empfehlungen ab:</w:t>
      </w:r>
    </w:p>
    <w:p>
      <w:pPr>
        <w:pStyle w:val="ListNumber"/>
      </w:pPr>
      <w:r>
        <w:rPr>
          <w:b/>
        </w:rPr>
        <w:t>Kompensation One in, one out</w:t>
      </w:r>
      <w:r>
        <w:t xml:space="preserve"> im Geschäftsbereich BMJ darstellen (siehe II.4 Vorschläge).</w:t>
      </w:r>
    </w:p>
    <w:p>
      <w:pPr>
        <w:pStyle w:val="ListNumber"/>
      </w:pPr>
      <w:r>
        <w:rPr>
          <w:b/>
        </w:rPr>
        <w:t>Klarstellung Interoperabilitäts-Funktion</w:t>
      </w:r>
      <w:r>
        <w:t xml:space="preserve"> in § 1 Abs. 2 PflPostG.</w:t>
      </w:r>
    </w:p>
    <w:p>
      <w:pPr>
        <w:pStyle w:val="ListNumber"/>
      </w:pPr>
      <w:r>
        <w:rPr>
          <w:b/>
        </w:rPr>
        <w:t>Evaluierungs-Klausel</w:t>
      </w:r>
      <w:r>
        <w:t xml:space="preserve"> in § 8 PflPostG ausdrücklich aufnehmen mit Berichtspflicht des BMJ an Bundestag.</w:t>
      </w:r>
    </w:p>
    <w:p>
      <w:pPr>
        <w:pStyle w:val="ListNumber"/>
      </w:pPr>
      <w:r>
        <w:rPr>
          <w:b/>
        </w:rPr>
        <w:t>KMU-Wertung</w:t>
      </w:r>
      <w:r>
        <w:t xml:space="preserve"> in die Begründung (Abschnitt VI.4) übernehmen (Aufstellung KMU-Anteil und Wertschöpfungs-Anteil).</w:t>
      </w:r>
    </w:p>
    <w:p>
      <w:pPr>
        <w:pStyle w:val="ListNumber"/>
      </w:pPr>
      <w:r>
        <w:rPr>
          <w:b/>
        </w:rPr>
        <w:t>Bürokratieabbau-Initiative</w:t>
      </w:r>
      <w:r>
        <w:t xml:space="preserve"> mit dem PflPostG verzahnen (Hinweis auf parallel laufende Vereinfachungs-Maßnahmen im Justiz-Bereich).</w:t>
      </w:r>
    </w:p>
    <w:p/>
    <w:p>
      <w:pPr>
        <w:pStyle w:val="Heading2"/>
      </w:pPr>
      <w:r>
        <w:rPr>
          <w:rFonts w:ascii="Times New Roman" w:hAnsi="Times New Roman"/>
        </w:rPr>
        <w:t>IV. Schluss</w:t>
      </w:r>
    </w:p>
    <w:p>
      <w:pPr>
        <w:jc w:val="left"/>
      </w:pPr>
      <w:r>
        <w:t>Der Nationale Normenkontrollrat erhebt keine Einwände gegen den dargestellten Erfüllungsaufwand. Die unter III. genannten Empfehlungen werden zur Berücksichtigung im weiteren Gesetzgebungsverfahren übergeben.</w:t>
      </w:r>
    </w:p>
    <w:p>
      <w:pPr>
        <w:jc w:val="left"/>
      </w:pPr>
      <w:r>
        <w:t>Berlin, den 19. Dezember 2026</w:t>
      </w:r>
    </w:p>
    <w:p>
      <w:pPr>
        <w:jc w:val="left"/>
      </w:pPr>
      <w:r>
        <w:t>Dr. Susanne Naumann</w:t>
      </w:r>
    </w:p>
    <w:p>
      <w:pPr>
        <w:jc w:val="left"/>
      </w:pPr>
      <w:r>
        <w:t>Vorsitzende des Nationalen Normenkontrollrats</w:t>
      </w:r>
    </w:p>
    <w:p>
      <w:pPr>
        <w:jc w:val="left"/>
      </w:pPr>
      <w:r>
        <w:t>(Geschäftsstelle: Friedrichstraße 200, 10117 Berlin)</w:t>
      </w:r>
    </w:p>
    <w:p>
      <w:pPr>
        <w:jc w:val="left"/>
      </w:pPr>
      <w:r>
        <w:t>nkr@bundesregierung.de · www.nationaler-normenkontrollrat.de</w:t>
      </w:r>
    </w:p>
    <w:p/>
    <w:p>
      <w:pPr>
        <w:jc w:val="left"/>
      </w:pPr>
      <w:r>
        <w:rPr>
          <w:b/>
        </w:rPr>
        <w:t>Aktenvermerk Bearbeitung (intern):</w:t>
      </w:r>
    </w:p>
    <w:p>
      <w:pPr>
        <w:jc w:val="left"/>
      </w:pPr>
      <w:r>
        <w:t>Die NKR-Stellungnahme ist gem. § 47 GGO im Vorblatt unter H zu zitieren. Die unter III. genannten Empfehlungen werden im Vorblatt und in der Begründung berücksichtigt:</w:t>
      </w:r>
    </w:p>
    <w:p>
      <w:pPr>
        <w:pStyle w:val="ListBullet"/>
      </w:pPr>
      <w:r>
        <w:t>Empfehlung 1 (Kompensation One in, one out): Wird im Ressort-Abstimmungs-Vermerk dargestellt.</w:t>
      </w:r>
    </w:p>
    <w:p>
      <w:pPr>
        <w:pStyle w:val="ListBullet"/>
      </w:pPr>
      <w:r>
        <w:t>Empfehlung 2 (Klarstellung Interoperabilität § 1 Abs. 2): Aufgenommen im aktuellen Stand 12.11.2026.</w:t>
      </w:r>
    </w:p>
    <w:p>
      <w:pPr>
        <w:pStyle w:val="ListBullet"/>
      </w:pPr>
      <w:r>
        <w:t>Empfehlung 3 (Evaluierungs-Klausel): Aufgenommen in § 8 (Übergangs- und Schluss-Vorschriften).</w:t>
      </w:r>
    </w:p>
    <w:p>
      <w:pPr>
        <w:pStyle w:val="ListBullet"/>
      </w:pPr>
      <w:r>
        <w:t>Empfehlung 4 (KMU-Wertung): Aufgenommen in Begründung A VI.4.</w:t>
      </w:r>
    </w:p>
    <w:p>
      <w:pPr>
        <w:pStyle w:val="ListBullet"/>
      </w:pPr>
      <w:r>
        <w:t>Empfehlung 5 (Bürokratieabbau-Verzahnung): Wird im Kabinett-Vermerk dargestellt.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Federführung: Bundesministerium der Justiz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Federführung: Bundesministerium der Justiz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Referat I A 4 · Aktenzeichen: NKR-Nr. 6857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