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Vorblatt zum Gesetz über das elektronische Pflichtpostfach</w:t>
      </w:r>
    </w:p>
    <w:p>
      <w:pPr>
        <w:jc w:val="left"/>
      </w:pPr>
      <w:r>
        <w:t>— Pflichtpostfachgesetz (PflPostG) und Folgeänderungen —</w:t>
      </w:r>
    </w:p>
    <w:p>
      <w:pPr>
        <w:jc w:val="left"/>
      </w:pPr>
      <w:r>
        <w:t>Bearbeitungsstand: Referentenentwurf, Stand 12. November 2026</w:t>
      </w:r>
    </w:p>
    <w:p>
      <w:pPr>
        <w:jc w:val="left"/>
      </w:pPr>
      <w:r>
        <w:t>Federführung: Bundesministerium der Justiz</w:t>
      </w:r>
    </w:p>
    <w:p/>
    <w:p>
      <w:pPr>
        <w:pStyle w:val="Heading2"/>
      </w:pPr>
      <w:r>
        <w:rPr>
          <w:rFonts w:ascii="Times New Roman" w:hAnsi="Times New Roman"/>
        </w:rPr>
        <w:t>A. Problem und Ziel</w:t>
      </w:r>
    </w:p>
    <w:p>
      <w:pPr>
        <w:jc w:val="left"/>
      </w:pPr>
      <w:r>
        <w:t>Die elektronische Rechtskommunikation mit Gesellschaften, ihren Zweigniederlassungen und sehr großen Online-Plattformen ist bislang nicht einheitlich geregelt. Gerichte und Behörden sind auf eine Vielzahl unterschiedlicher Zustellwege angewiesen — postalisch, besonderes elektronisches Anwaltspostfach (beA), besonderes elektronisches Behördenpostfach (beBPo), elektronisches Bürger- und Organisationenpostfach (eBO), ELSTER-Postfach und Mein Unternehmenskonto.</w:t>
      </w:r>
    </w:p>
    <w:p>
      <w:pPr>
        <w:jc w:val="left"/>
      </w:pPr>
      <w:r>
        <w:t>Diese fragmentierte Ausgangslage führt zu:</w:t>
      </w:r>
    </w:p>
    <w:p>
      <w:pPr>
        <w:pStyle w:val="ListBullet"/>
      </w:pPr>
      <w:r>
        <w:rPr>
          <w:b/>
        </w:rPr>
        <w:t>Medienbrüchen</w:t>
      </w:r>
      <w:r>
        <w:t xml:space="preserve"> bei der Zustellung an Akten und Verfahren,</w:t>
      </w:r>
    </w:p>
    <w:p>
      <w:pPr>
        <w:pStyle w:val="ListBullet"/>
      </w:pPr>
      <w:r>
        <w:rPr>
          <w:b/>
        </w:rPr>
        <w:t>Verzögerungen</w:t>
      </w:r>
      <w:r>
        <w:t xml:space="preserve"> mit Auswirkungen auf das Funktionieren der Rechtspflege (durchschnittliche Verzögerung pro Verfahren rund 18 Werktage),</w:t>
      </w:r>
    </w:p>
    <w:p>
      <w:pPr>
        <w:pStyle w:val="ListBullet"/>
      </w:pPr>
      <w:r>
        <w:rPr>
          <w:b/>
        </w:rPr>
        <w:t>Beweisproblemen</w:t>
      </w:r>
      <w:r>
        <w:t>, weil Zustellungs-Modalitäten je Empfänger variieren,</w:t>
      </w:r>
    </w:p>
    <w:p>
      <w:pPr>
        <w:pStyle w:val="ListBullet"/>
      </w:pPr>
      <w:r>
        <w:rPr>
          <w:b/>
        </w:rPr>
        <w:t>Erheblichem Erfüllungsaufwand</w:t>
      </w:r>
      <w:r>
        <w:t xml:space="preserve"> für Gerichte, Behörden und Wirtschaft.</w:t>
      </w:r>
    </w:p>
    <w:p>
      <w:pPr>
        <w:jc w:val="left"/>
      </w:pPr>
      <w:r>
        <w:t>Zugleich verpflichtet der Digital Services Act (Verordnung (EU) 2022/2065) sehr große Online-Plattformen und sehr große Online-Suchmaschinen zu erhöhter Erreichbarkeit für Behörden in den Mitgliedstaaten. Die nationale Umsetzung erfordert eine eindeutige rechtliche Verankerung der Zustellungs-Schnittstelle.</w:t>
      </w:r>
    </w:p>
    <w:p>
      <w:pPr>
        <w:jc w:val="left"/>
      </w:pPr>
      <w:r>
        <w:rPr>
          <w:b/>
        </w:rPr>
        <w:t>Eine bundeseinheitliche gesetzliche Lösung fehlt.</w:t>
      </w:r>
    </w:p>
    <w:p/>
    <w:p>
      <w:pPr>
        <w:pStyle w:val="Heading2"/>
      </w:pPr>
      <w:r>
        <w:rPr>
          <w:rFonts w:ascii="Times New Roman" w:hAnsi="Times New Roman"/>
        </w:rPr>
        <w:t>B. Lösung</w:t>
      </w:r>
    </w:p>
    <w:p>
      <w:pPr>
        <w:jc w:val="left"/>
      </w:pPr>
      <w:r>
        <w:t xml:space="preserve">Es wird ein </w:t>
      </w:r>
      <w:r>
        <w:rPr>
          <w:b/>
        </w:rPr>
        <w:t>Pflichtpostfachgesetz (PflPostG)</w:t>
      </w:r>
      <w:r>
        <w:t xml:space="preserve"> als Stammgesetz geschaffen, das</w:t>
      </w:r>
    </w:p>
    <w:p>
      <w:pPr>
        <w:pStyle w:val="ListNumber"/>
      </w:pPr>
      <w:r>
        <w:t xml:space="preserve">eine </w:t>
      </w:r>
      <w:r>
        <w:rPr>
          <w:b/>
        </w:rPr>
        <w:t>Pflicht zur Vorhaltung</w:t>
      </w:r>
      <w:r>
        <w:t xml:space="preserve"> eines interoperablen elektronischen Postfachs für im Handelsregister eingetragene Gesellschaften und ihre inländischen Zweigniederlassungen einführt,</w:t>
      </w:r>
    </w:p>
    <w:p>
      <w:pPr>
        <w:pStyle w:val="ListNumber"/>
      </w:pPr>
      <w:r>
        <w:t xml:space="preserve">für </w:t>
      </w:r>
      <w:r>
        <w:rPr>
          <w:b/>
        </w:rPr>
        <w:t>Anbieter sehr großer Online-Plattformen und sehr großer Online-Suchmaschinen</w:t>
      </w:r>
      <w:r>
        <w:t xml:space="preserve"> im Sinne des Artikels 33 der Verordnung (EU) 2022/2065 ein gleichartiges Postfach vorsieht,</w:t>
      </w:r>
    </w:p>
    <w:p>
      <w:pPr>
        <w:pStyle w:val="ListNumber"/>
      </w:pPr>
      <w:r>
        <w:t xml:space="preserve">die </w:t>
      </w:r>
      <w:r>
        <w:rPr>
          <w:b/>
        </w:rPr>
        <w:t>technische Interoperabilität</w:t>
      </w:r>
      <w:r>
        <w:t xml:space="preserve"> mit beA, beBPo, eBO und Nutzerkonto Bund sicherstellt,</w:t>
      </w:r>
    </w:p>
    <w:p>
      <w:pPr>
        <w:pStyle w:val="ListNumber"/>
      </w:pPr>
      <w:r>
        <w:t xml:space="preserve">eine </w:t>
      </w:r>
      <w:r>
        <w:rPr>
          <w:b/>
        </w:rPr>
        <w:t>Rechtsverordnungs-Ermächtigung</w:t>
      </w:r>
      <w:r>
        <w:t xml:space="preserve"> für die technische Konkretisierung enthält (BMJ im Einvernehmen mit BMI und BMDV, Zustimmung Bundesrates),</w:t>
      </w:r>
    </w:p>
    <w:p>
      <w:pPr>
        <w:pStyle w:val="ListNumber"/>
      </w:pPr>
      <w:r>
        <w:t xml:space="preserve">eine </w:t>
      </w:r>
      <w:r>
        <w:rPr>
          <w:b/>
        </w:rPr>
        <w:t>Bußgeld-Bewehrung</w:t>
      </w:r>
      <w:r>
        <w:t xml:space="preserve"> vorsieht (bis 10.000 Euro je Verstoss),</w:t>
      </w:r>
    </w:p>
    <w:p>
      <w:pPr>
        <w:pStyle w:val="ListNumber"/>
      </w:pPr>
      <w:r>
        <w:rPr>
          <w:b/>
        </w:rPr>
        <w:t>Datenschutz-Pflichten</w:t>
      </w:r>
      <w:r>
        <w:t xml:space="preserve"> explizit verankert (DSFA-Pflicht) und</w:t>
      </w:r>
    </w:p>
    <w:p>
      <w:pPr>
        <w:pStyle w:val="ListNumber"/>
      </w:pPr>
      <w:r>
        <w:rPr>
          <w:b/>
        </w:rPr>
        <w:t>Folgeänderungen</w:t>
      </w:r>
      <w:r>
        <w:t xml:space="preserve"> in HGB, ZPO, FamFG, VwZG, AO sowie weitere Folge-Verfahrensgesetze (InsO-Online, Erbnachweis-Verfahren) vornimmt.</w:t>
      </w:r>
    </w:p>
    <w:p>
      <w:pPr>
        <w:jc w:val="left"/>
      </w:pPr>
      <w:r>
        <w:t>Das Gesetz tritt mit gestaffelten Übergangsfristen in Kraft:</w:t>
      </w:r>
    </w:p>
    <w:p>
      <w:pPr>
        <w:pStyle w:val="ListBullet"/>
      </w:pPr>
      <w:r>
        <w:t>24 Monate für bestehende HReg-Gesellschaften</w:t>
      </w:r>
    </w:p>
    <w:p>
      <w:pPr>
        <w:pStyle w:val="ListBullet"/>
      </w:pPr>
      <w:r>
        <w:t>12 Monate für sehr große Online-Plattformen / -Suchmaschinen</w:t>
      </w:r>
    </w:p>
    <w:p>
      <w:pPr>
        <w:pStyle w:val="ListBullet"/>
      </w:pPr>
      <w:r>
        <w:t>12 Monate für neu auf die Liste aufgenommene Anbieter (ab Listenaufnahme)</w:t>
      </w:r>
    </w:p>
    <w:p/>
    <w:p>
      <w:pPr>
        <w:pStyle w:val="Heading2"/>
      </w:pPr>
      <w:r>
        <w:rPr>
          <w:rFonts w:ascii="Times New Roman" w:hAnsi="Times New Roman"/>
        </w:rPr>
        <w:t>C. Alternativen</w:t>
      </w:r>
    </w:p>
    <w:p>
      <w:pPr>
        <w:pStyle w:val="Heading3"/>
      </w:pPr>
      <w:r>
        <w:rPr>
          <w:rFonts w:ascii="Times New Roman" w:hAnsi="Times New Roman"/>
        </w:rPr>
        <w:t>1. Privatautonome / vertragliche Lösung — Verworfen</w:t>
      </w:r>
    </w:p>
    <w:p>
      <w:pPr>
        <w:jc w:val="left"/>
      </w:pPr>
      <w:r>
        <w:t>Eine vertragliche Selbstverpflichtung scheidet aus, weil sie weder die zur Sicherung der Rechtspflege erforderliche Verbindlichkeit noch eine bundeseinheitliche Geltung gewährleistet. Außerdem wäre die Plattform-Verpflichtung nicht durchsetzbar.</w:t>
      </w:r>
    </w:p>
    <w:p>
      <w:pPr>
        <w:pStyle w:val="Heading3"/>
      </w:pPr>
      <w:r>
        <w:rPr>
          <w:rFonts w:ascii="Times New Roman" w:hAnsi="Times New Roman"/>
        </w:rPr>
        <w:t>2. Regelung allein in Verfahrens-Gesetzen — Verworfen</w:t>
      </w:r>
    </w:p>
    <w:p>
      <w:pPr>
        <w:jc w:val="left"/>
      </w:pPr>
      <w:r>
        <w:t>Eine Regelung allein in den Verfahrens-Gesetzen wäre nicht ausreichend, weil sie den Plattform-Bereich nicht erfassen würde und die Verzahnung mit dem Handelsregister nicht herstellen könnte.</w:t>
      </w:r>
    </w:p>
    <w:p>
      <w:pPr>
        <w:pStyle w:val="Heading3"/>
      </w:pPr>
      <w:r>
        <w:rPr>
          <w:rFonts w:ascii="Times New Roman" w:hAnsi="Times New Roman"/>
        </w:rPr>
        <w:t>3. Landesrechtliche Regelung — Verworfen</w:t>
      </w:r>
    </w:p>
    <w:p>
      <w:pPr>
        <w:jc w:val="left"/>
      </w:pPr>
      <w:r>
        <w:t>Eine landesrechtliche Regelung würde zu einer Rechtszersplitterung führen und der elektronischen Rechtskommunikation, die grenzüberschreitend wirkt, nicht gerecht werden.</w:t>
      </w:r>
    </w:p>
    <w:p>
      <w:pPr>
        <w:pStyle w:val="Heading3"/>
      </w:pPr>
      <w:r>
        <w:rPr>
          <w:rFonts w:ascii="Times New Roman" w:hAnsi="Times New Roman"/>
        </w:rPr>
        <w:t>4. Bundes-Stammgesetz mit Folgeänderungen — Gewählte Lösung</w:t>
      </w:r>
    </w:p>
    <w:p>
      <w:pPr>
        <w:jc w:val="left"/>
      </w:pPr>
      <w:r>
        <w:t>Diese Alternative bündelt die Vorteile der Spezial-Gesetzgebung mit der notwendigen Vernetzung in HGB, ZPO, FamFG, VwZG, AO. Sie schafft Rechtsklarheit, Verbindlichkeit und einheitliche Geltung.</w:t>
      </w:r>
    </w:p>
    <w:p/>
    <w:p>
      <w:pPr>
        <w:pStyle w:val="Heading2"/>
      </w:pPr>
      <w:r>
        <w:rPr>
          <w:rFonts w:ascii="Times New Roman" w:hAnsi="Times New Roman"/>
        </w:rPr>
        <w:t>D. Haushaltsausgaben ohne Erfüllungsaufwand</w:t>
      </w:r>
    </w:p>
    <w:p>
      <w:pPr>
        <w:pStyle w:val="Heading3"/>
      </w:pPr>
      <w:r>
        <w:rPr>
          <w:rFonts w:ascii="Times New Roman" w:hAnsi="Times New Roman"/>
        </w:rPr>
        <w:t>Bund</w:t>
      </w:r>
    </w:p>
    <w:p>
      <w:pPr>
        <w:jc w:val="left"/>
      </w:pPr>
      <w:r>
        <w:rPr>
          <w:b/>
        </w:rPr>
        <w:t>Einmalige Kosten</w:t>
      </w:r>
      <w:r>
        <w:t xml:space="preserve"> für die Errichtung der zentralen Verzeichnis-Infrastruktur und der Schnittstellen-Plattform: </w:t>
      </w:r>
      <w:r>
        <w:rPr>
          <w:b/>
        </w:rPr>
        <w:t>rund 24 Mio. Euro</w:t>
      </w:r>
      <w:r>
        <w:t xml:space="preserve"> (verteilt auf die Haushaltsjahre 2027 und 2028).</w:t>
      </w:r>
    </w:p>
    <w:p>
      <w:pPr>
        <w:jc w:val="left"/>
      </w:pPr>
      <w:r>
        <w:rPr>
          <w:b/>
        </w:rPr>
        <w:t>Laufende Kosten</w:t>
      </w:r>
      <w:r>
        <w:t xml:space="preserve"> ab 2030 (drittes Jahr nach Inkrafttreten): </w:t>
      </w:r>
      <w:r>
        <w:rPr>
          <w:b/>
        </w:rPr>
        <w:t>rund 6 Mio. Euro jährlich</w:t>
      </w:r>
      <w:r>
        <w:t xml:space="preserve"> für Betrieb, Wartung, Weiterentwicklung der Verzeichnis-Infrastruktur und Anbindung neuer Zustelldienste.</w:t>
      </w:r>
    </w:p>
    <w:p>
      <w:pPr>
        <w:pStyle w:val="Heading3"/>
      </w:pPr>
      <w:r>
        <w:rPr>
          <w:rFonts w:ascii="Times New Roman" w:hAnsi="Times New Roman"/>
        </w:rPr>
        <w:t>Länder und Kommunen</w:t>
      </w:r>
    </w:p>
    <w:p>
      <w:pPr>
        <w:jc w:val="left"/>
      </w:pPr>
      <w:r>
        <w:rPr>
          <w:b/>
        </w:rPr>
        <w:t>Länder</w:t>
      </w:r>
      <w:r>
        <w:t>: einmalig rund 18 Mio. Euro für Anpassungen an Justiz-Fachverfahren (insbesondere bei der elektronischen Justiz). Laufend rund 4 Mio. Euro jährlich.</w:t>
      </w:r>
    </w:p>
    <w:p>
      <w:pPr>
        <w:jc w:val="left"/>
      </w:pPr>
      <w:r>
        <w:rPr>
          <w:b/>
        </w:rPr>
        <w:t>Kommunen</w:t>
      </w:r>
      <w:r>
        <w:t>: keine Kosten.</w:t>
      </w:r>
    </w:p>
    <w:p>
      <w:pPr>
        <w:pStyle w:val="Heading3"/>
      </w:pPr>
      <w:r>
        <w:rPr>
          <w:rFonts w:ascii="Times New Roman" w:hAnsi="Times New Roman"/>
        </w:rPr>
        <w:t>Sozialversicherung</w:t>
      </w:r>
    </w:p>
    <w:p>
      <w:pPr>
        <w:jc w:val="left"/>
      </w:pPr>
      <w:r>
        <w:t>Keine Auswirkungen.</w:t>
      </w:r>
    </w:p>
    <w:p/>
    <w:p>
      <w:pPr>
        <w:pStyle w:val="Heading2"/>
      </w:pPr>
      <w:r>
        <w:rPr>
          <w:rFonts w:ascii="Times New Roman" w:hAnsi="Times New Roman"/>
        </w:rPr>
        <w:t>E. Erfüllungsaufwand</w:t>
      </w:r>
    </w:p>
    <w:p>
      <w:pPr>
        <w:pStyle w:val="Heading3"/>
      </w:pPr>
      <w:r>
        <w:rPr>
          <w:rFonts w:ascii="Times New Roman" w:hAnsi="Times New Roman"/>
        </w:rPr>
        <w:t>E.1 Erfüllungsaufwand für Bürgerinnen und Bürger</w:t>
      </w:r>
    </w:p>
    <w:p>
      <w:pPr>
        <w:jc w:val="left"/>
      </w:pPr>
      <w:r>
        <w:rPr>
          <w:b/>
        </w:rPr>
        <w:t>Kein Erfüllungsaufwand.</w:t>
      </w:r>
      <w:r>
        <w:t xml:space="preserve"> Bürger sind nicht Adressaten der Verpflichtung.</w:t>
      </w:r>
    </w:p>
    <w:p>
      <w:pPr>
        <w:pStyle w:val="Heading3"/>
      </w:pPr>
      <w:r>
        <w:rPr>
          <w:rFonts w:ascii="Times New Roman" w:hAnsi="Times New Roman"/>
        </w:rPr>
        <w:t>E.2 Erfüllungsaufwand für die Wirtschaft</w:t>
      </w:r>
    </w:p>
    <w:p>
      <w:pPr>
        <w:pStyle w:val="Heading3"/>
      </w:pPr>
      <w:r>
        <w:rPr>
          <w:rFonts w:ascii="Times New Roman" w:hAnsi="Times New Roman"/>
        </w:rPr>
        <w:t>a) HReg-Gesellschaften und Zweigniederlassungen (rund 1,3 Mio.)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Annahmen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Einmaliger Aufwand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rund 312 Mio. Euro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240 Euro / Gesellschaft (Anbindung, Schulung, Prozess-Anpassung)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Laufender Aufwand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rund 89 Mio. Euro / Jahr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70 Euro / Gesellschaft / Jahr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Davon Bürokratie-Kosten (SKM-Methode)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rund 8 Mio. Euro / Jahr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 Informationspflichten gem. § 33a HGB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b) Sehr große Online-Plattformen / -Suchmaschinen (rund 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Annahmen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Einmaliger Aufwand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rund 76 Mio. Euro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 Mio. Euro / Anbieter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Laufender Aufwand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rund 9,5 Mio. Euro / Jahr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0,5 Mio. Euro / Anbieter / Jahr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c) KMU-Wertung</w:t>
      </w:r>
    </w:p>
    <w:p>
      <w:pPr>
        <w:jc w:val="left"/>
      </w:pPr>
      <w:r>
        <w:t>Der KMU-Anteil unter HReg-Gesellschaften beträgt rund 80 % (rund 1 Mio. KMU). Mehrkosten je KMU sind verkraftbar; eine besondere KMU-Erleichterung ist nicht erforderlich. Die KMU-Mehrbelastung je KMU beläuft sich auf einmalig 240 Euro und laufend 70 Euro/Jahr — bei mittlerer KMU-Wertschöpfung deutlich unter 1 ‰ des Jahresumsatzes.</w:t>
      </w:r>
    </w:p>
    <w:p>
      <w:pPr>
        <w:pStyle w:val="Heading3"/>
      </w:pPr>
      <w:r>
        <w:rPr>
          <w:rFonts w:ascii="Times New Roman" w:hAnsi="Times New Roman"/>
        </w:rPr>
        <w:t>E.3 Erfüllungsaufwand der Verwaltung</w:t>
      </w:r>
    </w:p>
    <w:p>
      <w:pPr>
        <w:pStyle w:val="Heading3"/>
      </w:pPr>
      <w:r>
        <w:rPr>
          <w:rFonts w:ascii="Times New Roman" w:hAnsi="Times New Roman"/>
        </w:rPr>
        <w:t>Bund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Einmaliger Aufwand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rund 24 Mio. Euro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Laufender Aufwand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rund 6 Mio. Euro / Jahr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Länder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Einmaliger Aufwand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rund 18 Mio. Euro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Laufender Aufwand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rund 4 Mio. Euro / Jahr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Kommunen</w:t>
      </w:r>
    </w:p>
    <w:p>
      <w:pPr>
        <w:jc w:val="left"/>
      </w:pPr>
      <w:r>
        <w:t>Keine Auswirkungen.</w:t>
      </w:r>
    </w:p>
    <w:p>
      <w:pPr>
        <w:pStyle w:val="Heading3"/>
      </w:pPr>
      <w:r>
        <w:rPr>
          <w:rFonts w:ascii="Times New Roman" w:hAnsi="Times New Roman"/>
        </w:rPr>
        <w:t>E.4 Bürokratie-Folgen</w:t>
      </w:r>
    </w:p>
    <w:p>
      <w:pPr>
        <w:jc w:val="left"/>
      </w:pPr>
      <w:r>
        <w:t>Eine neue Informationspflicht wird eingeführt:</w:t>
      </w:r>
    </w:p>
    <w:p>
      <w:pPr>
        <w:pStyle w:val="ListBullet"/>
      </w:pPr>
      <w:r>
        <w:rPr>
          <w:b/>
        </w:rPr>
        <w:t>Anmeldung der Postfachadresse zur Eintragung im Handelsregister</w:t>
      </w:r>
      <w:r>
        <w:t xml:space="preserve"> (§ 33a HGB neu).</w:t>
      </w:r>
    </w:p>
    <w:p>
      <w:pPr>
        <w:pStyle w:val="ListBullet"/>
      </w:pPr>
      <w:r>
        <w:rPr>
          <w:b/>
        </w:rPr>
        <w:t>Mitteilung Änderung Postfachadresse</w:t>
      </w:r>
      <w:r>
        <w:t xml:space="preserve"> an Handelsregister (§ 33a Abs. 2 HGB neu).</w:t>
      </w:r>
    </w:p>
    <w:p>
      <w:pPr>
        <w:pStyle w:val="ListBullet"/>
      </w:pPr>
      <w:r>
        <w:rPr>
          <w:b/>
        </w:rPr>
        <w:t>Benennung zustellungs-bevollmächtigte Person</w:t>
      </w:r>
      <w:r>
        <w:t xml:space="preserve"> und Mitteilung Änderung (§ 3 Abs. 4 PflPostG).</w:t>
      </w:r>
    </w:p>
    <w:p>
      <w:pPr>
        <w:jc w:val="left"/>
      </w:pPr>
      <w:r>
        <w:t xml:space="preserve">Geschätzte Bürokratie-Last gemäß SKM-Methode: </w:t>
      </w:r>
      <w:r>
        <w:rPr>
          <w:b/>
        </w:rPr>
        <w:t>rund 8 Mio. Euro / Jahr</w:t>
      </w:r>
      <w:r>
        <w:t>.</w:t>
      </w:r>
    </w:p>
    <w:p/>
    <w:p>
      <w:pPr>
        <w:pStyle w:val="Heading2"/>
      </w:pPr>
      <w:r>
        <w:rPr>
          <w:rFonts w:ascii="Times New Roman" w:hAnsi="Times New Roman"/>
        </w:rPr>
        <w:t>F. Weitere Kosten</w:t>
      </w:r>
    </w:p>
    <w:p>
      <w:pPr>
        <w:jc w:val="left"/>
      </w:pPr>
      <w:r>
        <w:rPr>
          <w:b/>
        </w:rPr>
        <w:t>Keine Auswirkungen auf das Preisniveau, insbesondere keine Auswirkungen auf das Verbraucherpreisniveau zu erwarten.</w:t>
      </w:r>
    </w:p>
    <w:p>
      <w:pPr>
        <w:jc w:val="left"/>
      </w:pPr>
      <w:r>
        <w:t>Die Kosten der Wirtschaft (einmalig 312 Mio. Euro, laufend 89 Mio. Euro/Jahr) sind gemessen an der Größe der betroffenen Wirtschaft (rund 1,3 Mio. Adressaten) verkraftbar und werden nicht auf Verbraucher-Preise überwälzt.</w:t>
      </w:r>
    </w:p>
    <w:p/>
    <w:p>
      <w:pPr>
        <w:pStyle w:val="Heading2"/>
      </w:pPr>
      <w:r>
        <w:rPr>
          <w:rFonts w:ascii="Times New Roman" w:hAnsi="Times New Roman"/>
        </w:rPr>
        <w:t>G. Weitere Gesichtspunkte (informell)</w:t>
      </w:r>
    </w:p>
    <w:p>
      <w:pPr>
        <w:pStyle w:val="Heading3"/>
      </w:pPr>
      <w:r>
        <w:rPr>
          <w:rFonts w:ascii="Times New Roman" w:hAnsi="Times New Roman"/>
        </w:rPr>
        <w:t>G.1 Nachhaltigkeits-Aspekte</w:t>
      </w:r>
    </w:p>
    <w:p>
      <w:pPr>
        <w:pStyle w:val="ListBullet"/>
      </w:pPr>
      <w:r>
        <w:t xml:space="preserve">Reduktion des Papier-Verbrauchs in der Rechtskommunikation um geschätzt </w:t>
      </w:r>
      <w:r>
        <w:rPr>
          <w:b/>
        </w:rPr>
        <w:t>30 %</w:t>
      </w:r>
      <w:r>
        <w:t xml:space="preserve"> (jährlich 285 Mio. Briefe Status quo).</w:t>
      </w:r>
    </w:p>
    <w:p>
      <w:pPr>
        <w:pStyle w:val="ListBullet"/>
      </w:pPr>
      <w:r>
        <w:t>Beitrag zu SDG 9 (Industrie, Innovation, Infrastruktur) und SDG 16 (Frieden, Gerechtigkeit, starke Institutionen).</w:t>
      </w:r>
    </w:p>
    <w:p>
      <w:pPr>
        <w:pStyle w:val="ListBullet"/>
      </w:pPr>
      <w:r>
        <w:t>CO2-Einsparung Briefversand jährlich rund 12.000 t.</w:t>
      </w:r>
    </w:p>
    <w:p>
      <w:pPr>
        <w:pStyle w:val="Heading3"/>
      </w:pPr>
      <w:r>
        <w:rPr>
          <w:rFonts w:ascii="Times New Roman" w:hAnsi="Times New Roman"/>
        </w:rPr>
        <w:t>G.2 Gleichstellungspolitische Auswirkungen</w:t>
      </w:r>
    </w:p>
    <w:p>
      <w:pPr>
        <w:jc w:val="left"/>
      </w:pPr>
      <w:r>
        <w:t>Der Entwurf ist neutral. Eine Gender-Prüfung gemäß GleichstellungsG ist erfolgt; keine spezifischen Auswirkungen.</w:t>
      </w:r>
    </w:p>
    <w:p>
      <w:pPr>
        <w:pStyle w:val="Heading3"/>
      </w:pPr>
      <w:r>
        <w:rPr>
          <w:rFonts w:ascii="Times New Roman" w:hAnsi="Times New Roman"/>
        </w:rPr>
        <w:t>G.3 Demografische Auswirkungen</w:t>
      </w:r>
    </w:p>
    <w:p>
      <w:pPr>
        <w:jc w:val="left"/>
      </w:pPr>
      <w:r>
        <w:t>Keine. Ältere Menschen sind nicht Adressaten der Verpflichtung.</w:t>
      </w:r>
    </w:p>
    <w:p>
      <w:pPr>
        <w:pStyle w:val="Heading3"/>
      </w:pPr>
      <w:r>
        <w:rPr>
          <w:rFonts w:ascii="Times New Roman" w:hAnsi="Times New Roman"/>
        </w:rPr>
        <w:t>G.4 Innovation und Standort-Wettbewerbsfähigkeit</w:t>
      </w:r>
    </w:p>
    <w:p>
      <w:pPr>
        <w:jc w:val="left"/>
      </w:pPr>
      <w:r>
        <w:t>Der Entwurf fördert die Digitalisierung der deutschen Justiz und stärkt Deutschland als Investitions-Standort. Internationale Vergleichbarkeit: ähnliche Regelungen in Estland, Belgien, Frankreich, Italien.</w:t>
      </w:r>
    </w:p>
    <w:p>
      <w:pPr>
        <w:pStyle w:val="Heading3"/>
      </w:pPr>
      <w:r>
        <w:rPr>
          <w:rFonts w:ascii="Times New Roman" w:hAnsi="Times New Roman"/>
        </w:rPr>
        <w:t>G.5 Evaluierung</w:t>
      </w:r>
    </w:p>
    <w:p>
      <w:pPr>
        <w:jc w:val="left"/>
      </w:pPr>
      <w:r>
        <w:t xml:space="preserve">Evaluierung </w:t>
      </w:r>
      <w:r>
        <w:rPr>
          <w:b/>
        </w:rPr>
        <w:t>fünf Jahre nach Inkrafttreten</w:t>
      </w:r>
      <w:r>
        <w:t xml:space="preserve"> unter Beteiligung BMJ, Länder-Justizministerien, Spitzenverbände der Wirtschaft.</w:t>
      </w:r>
    </w:p>
    <w:p>
      <w:pPr>
        <w:pStyle w:val="Heading3"/>
      </w:pPr>
      <w:r>
        <w:rPr>
          <w:rFonts w:ascii="Times New Roman" w:hAnsi="Times New Roman"/>
        </w:rPr>
        <w:t>G.6 Notifizierung</w:t>
      </w:r>
    </w:p>
    <w:p>
      <w:pPr>
        <w:jc w:val="left"/>
      </w:pPr>
      <w:r>
        <w:t>EU-Notifizierung nach Richtlinie (EU) 2015/1535 erfolgt nach Schlussabstimmung Staatssekretäre. Stillhaltefrist 3 Monate.</w:t>
      </w:r>
    </w:p>
    <w:p/>
    <w:p>
      <w:pPr>
        <w:pStyle w:val="Heading2"/>
      </w:pPr>
      <w:r>
        <w:rPr>
          <w:rFonts w:ascii="Times New Roman" w:hAnsi="Times New Roman"/>
        </w:rPr>
        <w:t>H. Stellungnahme NKR (Nationaler Normenkontrollrat)</w:t>
      </w:r>
    </w:p>
    <w:p>
      <w:pPr>
        <w:jc w:val="left"/>
      </w:pPr>
      <w:r>
        <w:t>Der NKR hat den Erfüllungsaufwand geprüft. Stellungnahme [Datum] enthält:</w:t>
      </w:r>
    </w:p>
    <w:p>
      <w:pPr>
        <w:pStyle w:val="ListBullet"/>
      </w:pPr>
      <w:r>
        <w:t>Erfüllungsaufwand nachvollziehbar dargestellt</w:t>
      </w:r>
    </w:p>
    <w:p>
      <w:pPr>
        <w:pStyle w:val="ListBullet"/>
      </w:pPr>
      <w:r>
        <w:t>Keine bürokratischen Mehrlasten über das gerechtfertigte Maß hinaus</w:t>
      </w:r>
    </w:p>
    <w:p>
      <w:pPr>
        <w:pStyle w:val="ListBullet"/>
      </w:pPr>
      <w:r>
        <w:t>KMU-Wertung erfolgt</w:t>
      </w:r>
    </w:p>
    <w:p>
      <w:pPr>
        <w:pStyle w:val="ListBullet"/>
      </w:pPr>
      <w:r>
        <w:t>Empfehlung: Veröffentlichung des Entwurfs in der Verbände-Anhörung</w:t>
      </w:r>
    </w:p>
    <w:p>
      <w:pPr>
        <w:jc w:val="left"/>
      </w:pPr>
      <w:r>
        <w:t>(Siehe Anlage "nkr-stellungnahme-vorlage.md").</w:t>
      </w:r>
    </w:p>
    <w:p/>
    <w:p>
      <w:pPr>
        <w:pStyle w:val="Heading2"/>
      </w:pPr>
      <w:r>
        <w:rPr>
          <w:rFonts w:ascii="Times New Roman" w:hAnsi="Times New Roman"/>
        </w:rPr>
        <w:t>I. Federführung und Mitwirkung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Federführung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Mitwirkende Ressorts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BMJ</w:t>
            </w:r>
            <w:r>
              <w:rPr>
                <w:rFonts w:ascii="Times New Roman" w:hAnsi="Times New Roman"/>
                <w:sz w:val="20"/>
              </w:rPr>
              <w:t xml:space="preserve"> (Bundesministerium der Justiz)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BMI (Bundesministerium des Innern und für Heimat), BMDV (Bundesministerium für Digitales und Verkehr), BMF (Bundesministerium der Finanzen, betr. Artikel 6 AO-Änderung), BMWK (Bundesministerium für Wirtschaft und Klimaschutz, betr. Wirtschafts-Bezug)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J. Zeitplan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Phase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Referentenentwurf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November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Verbände-Anhörung Start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12.11.2026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Verbände-Anhörung Ende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12.12.2026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Ressortabstimmung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03.12.2026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Zweite Ressortabstimmung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17.12.2026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Schlussabstimmung Staatssekretäre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14.01.2027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EU-Notifizierung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15.01.2027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Stillhaltefrist Ende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15.04.2027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Kabinett-Vorlage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28.01.2027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Bundestag erste Lesung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März 2027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Bundestag dritte Lesung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Mai 2027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Bundesrat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Juni 2027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Verkündung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Juli 2027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Inkrafttreten (Standardteil)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01.07.2028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Inkrafttreten §§ 5 und 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sofort nach Verkündung</w:t>
            </w:r>
          </w:p>
        </w:tc>
      </w:tr>
    </w:tbl>
    <w:p/>
    <w:p>
      <w:pPr>
        <w:jc w:val="left"/>
      </w:pPr>
      <w:r>
        <w:rPr>
          <w:b/>
        </w:rPr>
        <w:t>Aktenvermerk Bearbeitung (intern):</w:t>
      </w:r>
    </w:p>
    <w:p>
      <w:pPr>
        <w:jc w:val="left"/>
      </w:pPr>
      <w:r>
        <w:t>Das Vorblatt folgt dem Schema A bis F gemäß GGO § 43 Abs. 1 Nummer 1 sowie dem Handbuch der Rechtsförmlichkeit (HdR) Teil B Nummer 41. Die Folgenabschätzung wurde mit dem Statistischen Bundesamt (Erfüllungsaufwand-Berechnung) abgestimmt.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Federführung: Bundesministerium der Justiz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Federführung: Bundesministerium der Justiz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