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Gutachten Kurzfassung – Planungsbüro Moor &amp; Wege PartG</w:t>
      </w:r>
    </w:p>
    <w:p>
      <w:pPr>
        <w:jc w:val="left"/>
      </w:pPr>
      <w:r>
        <w:rPr>
          <w:b/>
        </w:rPr>
        <w:t>Vollständiger Titel:</w:t>
      </w:r>
      <w:r>
        <w:t xml:space="preserve"> Moorschutzfachliche Bewertung des geplanten Trassenkorridors B 449n im Bereich Grosses Moor nördlich Waldmoor mit ersten Alternativenpruefungen</w:t>
      </w:r>
    </w:p>
    <w:p>
      <w:pPr>
        <w:jc w:val="left"/>
      </w:pPr>
      <w:r>
        <w:rPr>
          <w:b/>
        </w:rPr>
        <w:t>Auftraggeber:</w:t>
      </w:r>
      <w:r>
        <w:t xml:space="preserve"> Buergerinitiative Waldmoor 2030, vertreten durch Luise Barmbek</w:t>
      </w:r>
    </w:p>
    <w:p>
      <w:pPr>
        <w:jc w:val="left"/>
      </w:pPr>
      <w:r>
        <w:rPr>
          <w:b/>
        </w:rPr>
        <w:t>Auftragsbestätigung:</w:t>
      </w:r>
      <w:r>
        <w:t xml:space="preserve"> 22.04.2026 (Rechnung MW-2026-88)</w:t>
      </w:r>
    </w:p>
    <w:p>
      <w:pPr>
        <w:jc w:val="left"/>
      </w:pPr>
      <w:r>
        <w:rPr>
          <w:b/>
        </w:rPr>
        <w:t>Vollendung Kurzfassung:</w:t>
      </w:r>
      <w:r>
        <w:t xml:space="preserve"> 10.05.2026 (12 Seiten)</w:t>
      </w:r>
    </w:p>
    <w:p>
      <w:pPr>
        <w:jc w:val="left"/>
      </w:pPr>
      <w:r>
        <w:rPr>
          <w:b/>
        </w:rPr>
        <w:t>Bearbeitende:</w:t>
      </w:r>
      <w:r>
        <w:t xml:space="preserve"> Dr. Merle Thies (LP), Tobias Wiechert (Hydrologie), Anke Roder (Kartographie)</w:t>
      </w:r>
    </w:p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jc w:val="left"/>
      </w:pPr>
      <w:r>
        <w:t>Das Gutachten stützt sich auf:</w:t>
      </w:r>
    </w:p>
    <w:p>
      <w:pPr>
        <w:pStyle w:val="ListNumber"/>
      </w:pPr>
      <w:r>
        <w:t>die im Bundesverkehrswegeplan 2030 dokumentierten Korridorvarianten;</w:t>
      </w:r>
    </w:p>
    <w:p>
      <w:pPr>
        <w:pStyle w:val="ListNumber"/>
      </w:pPr>
      <w:r>
        <w:t>Bodenkartierung der Geologischen Bundesanstalt für das untersuchte Hochmoorgebiet;</w:t>
      </w:r>
    </w:p>
    <w:p>
      <w:pPr>
        <w:pStyle w:val="ListNumber"/>
      </w:pPr>
      <w:r>
        <w:t>eigene Wasserstandsmessungen an drei Stationen, Zeitraum 01.10.2025 bis 30.04.2026;</w:t>
      </w:r>
    </w:p>
    <w:p>
      <w:pPr>
        <w:pStyle w:val="ListNumber"/>
      </w:pPr>
      <w:r>
        <w:t>CO2-Emissionsabschätzung nach IPCC-Methode (Tier 2);</w:t>
      </w:r>
    </w:p>
    <w:p>
      <w:pPr>
        <w:pStyle w:val="ListNumber"/>
      </w:pPr>
      <w:r>
        <w:t>Vergleich von drei Alternativkorridoren (A: Umgehung nördlich, B: Tunnel-Querung 1,6 km, C: östliche Trasse mit Verlängerung 8 km).</w:t>
      </w:r>
    </w:p>
    <w:p>
      <w:pPr>
        <w:pStyle w:val="Heading2"/>
      </w:pPr>
      <w:r>
        <w:rPr>
          <w:rFonts w:ascii="Times New Roman" w:hAnsi="Times New Roman"/>
        </w:rPr>
        <w:t>Ergebnisse</w:t>
      </w:r>
    </w:p>
    <w:p>
      <w:pPr>
        <w:pStyle w:val="ListBullet"/>
      </w:pPr>
      <w:r>
        <w:t>Die geplante Trasse durchquert in einer Länge von rund 4,2 km das LRT-7110-Gebiet.</w:t>
      </w:r>
    </w:p>
    <w:p>
      <w:pPr>
        <w:pStyle w:val="ListBullet"/>
      </w:pPr>
      <w:r>
        <w:t>Die zur Trassenstabilisierung erforderliche Entwässerung würde nach Tier-2-Berechnung im Mittel 152.000 t CO2 über zehn Jahre freisetzen, mit einer Bandbreite von 118.000 bis 187.000 t CO2.</w:t>
      </w:r>
    </w:p>
    <w:p>
      <w:pPr>
        <w:pStyle w:val="ListBullet"/>
      </w:pPr>
      <w:r>
        <w:t>Die Alternativkorridore A und C verursachen geringere Moorentwässerung; Korridor C ist verkehrlich aufwendiger, vermeidet aber den LRT-7110-Konflikt.</w:t>
      </w:r>
    </w:p>
    <w:p>
      <w:pPr>
        <w:pStyle w:val="ListBullet"/>
      </w:pPr>
      <w:r>
        <w:t>Eine Tunnellösung (B) ist hydrogeologisch grenzwertig, aber technisch nicht ausgeschlossen.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Das Gutachten empfiehlt, die Planung um eine vergleichende Variantenpruefung der Korridore A und C zu erweitern und die Moorhydrologie als eigenständigen Prüfgegenstand zu führen.</w:t>
      </w:r>
    </w:p>
    <w:p>
      <w:pPr>
        <w:pStyle w:val="Heading2"/>
      </w:pPr>
      <w:r>
        <w:rPr>
          <w:rFonts w:ascii="Times New Roman" w:hAnsi="Times New Roman"/>
        </w:rPr>
        <w:t>Versand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Empfänger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Bestätigung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MdB Reimers (Verkehrsausschuss)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mit PDF-Anhang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Eingangsbestätigung 13.05.2026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MdB Mahlow (Umweltausschuss)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mit PDF-Anhang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Eingangsbestätigung 12.05.2026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BMDV Referat Strasse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mit PDF-Anhang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Bestätigung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Petitionsausschuss (Nachreichung zur Petition)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Hochladen Beilage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systemseitig protokolliert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Lobbyregister-Uploadfrage</w:t>
      </w:r>
    </w:p>
    <w:p>
      <w:pPr>
        <w:jc w:val="left"/>
      </w:pPr>
      <w:r>
        <w:t xml:space="preserve">Wenn die Initiative pflichtig oder freiwillig registriert wird, ist die Kurzfassung als </w:t>
      </w:r>
      <w:r>
        <w:rPr>
          <w:b/>
        </w:rPr>
        <w:t>grundlegende Stellungnahme</w:t>
      </w:r>
      <w:r>
        <w:t xml:space="preserve"> zu einem Regelungs- bzw. Entscheidungsvorhaben zu prüfen (§ 5 Abs. 1 Nr. 5 i.V.m. § 5 Abs. 3 LobbyRG). Die Veröffentlichungsfrage betrifft</w:t>
      </w:r>
    </w:p>
    <w:p>
      <w:pPr>
        <w:pStyle w:val="ListBullet"/>
      </w:pPr>
      <w:r>
        <w:t>die Kurzfassung selbst (12 Seiten),</w:t>
      </w:r>
    </w:p>
    <w:p>
      <w:pPr>
        <w:pStyle w:val="ListBullet"/>
      </w:pPr>
      <w:r>
        <w:t>nicht den vollständigen Anhang (Wasserstandsmessungen, Methodenanhang),</w:t>
      </w:r>
    </w:p>
    <w:p>
      <w:pPr>
        <w:pStyle w:val="ListBullet"/>
      </w:pPr>
      <w:r>
        <w:t>ggf. die schriftliche Stellungnahme zur Anhörung am 03.06.2026, sofern diese inhaltlich auf die Kurzfassung zurückgreift.</w:t>
      </w:r>
    </w:p>
    <w:p>
      <w:pPr>
        <w:jc w:val="left"/>
      </w:pPr>
      <w:r>
        <w:t>Die quartalsweise Uploadpflicht beginnt mit dem Versand am 12.05.2026 zu laufen; relevant ist das Q2/2026.</w:t>
      </w:r>
    </w:p>
    <w:p>
      <w:pPr>
        <w:pStyle w:val="Heading2"/>
      </w:pPr>
      <w:r>
        <w:rPr>
          <w:rFonts w:ascii="Times New Roman" w:hAnsi="Times New Roman"/>
        </w:rPr>
        <w:t>Konflikthinweise</w:t>
      </w:r>
    </w:p>
    <w:p>
      <w:pPr>
        <w:pStyle w:val="ListBullet"/>
      </w:pPr>
      <w:r>
        <w:t>Die Spende der Windpark Waldmoor GmbH wurde nicht für das Gutachten verwendet; das Gutachten ist also nicht aus der angebotenen, aber nicht angenommenen Spende finanziert (vgl. 14_spendenkonflikt_windpark.md).</w:t>
      </w:r>
    </w:p>
    <w:p>
      <w:pPr>
        <w:pStyle w:val="ListBullet"/>
      </w:pPr>
      <w:r>
        <w:t>Dr. Merle Thies ist nicht Mitglied der Initiative. Eine Vermischung von Auftragnehmer und Initiative im Registereintrag wäre unzutreffend.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Planungsbüro Moor &amp; Wege PartG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2"/>
      </w:rPr>
      <w:t>PLANUNGSBÜRO MOOR &amp; WEGE PARTG</w:t>
    </w:r>
  </w:p>
  <w:p>
    <w:pPr>
      <w:jc w:val="left"/>
      <w:pBdr>
        <w:bottom w:val="single" w:sz="8" w:space="2" w:color="8A6A1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