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Schriftverkehr mit der Bundestagsverwaltung – Registerstelle</w:t>
      </w:r>
    </w:p>
    <w:p>
      <w:pPr>
        <w:jc w:val="left"/>
      </w:pPr>
      <w:r>
        <w:rPr>
          <w:b/>
        </w:rPr>
        <w:t>Aktenzeichen Kanzlei:</w:t>
      </w:r>
      <w:r>
        <w:t xml:space="preserve"> WM-2030-LR-2026/04/Bundestag-01</w:t>
      </w:r>
    </w:p>
    <w:p>
      <w:pPr>
        <w:jc w:val="left"/>
      </w:pPr>
      <w:r>
        <w:rPr>
          <w:b/>
        </w:rPr>
        <w:t>Bearbeitung:</w:t>
      </w:r>
      <w:r>
        <w:t xml:space="preserve"> RAin Julia Stern</w:t>
      </w:r>
    </w:p>
    <w:p>
      <w:pPr>
        <w:pStyle w:val="Heading2"/>
      </w:pPr>
      <w:r>
        <w:rPr>
          <w:rFonts w:ascii="Times New Roman" w:hAnsi="Times New Roman"/>
        </w:rPr>
        <w:t>1. Schreiben an die Registerstelle vom 19.05.2026 (anwaltliches Anfrageschreiben)</w:t>
      </w:r>
    </w:p>
    <w:p>
      <w:pPr>
        <w:ind w:left="567"/>
      </w:pPr>
      <w:r>
        <w:rPr>
          <w:i/>
        </w:rPr>
        <w:t>Stern &amp; Partner mbB Rechtsanwälte</w:t>
      </w:r>
    </w:p>
    <w:p>
      <w:pPr>
        <w:ind w:left="567"/>
      </w:pPr>
      <w:r>
        <w:rPr>
          <w:i/>
        </w:rPr>
        <w:t>Lessingstr. 4</w:t>
      </w:r>
    </w:p>
    <w:p>
      <w:pPr>
        <w:ind w:left="567"/>
      </w:pPr>
      <w:r>
        <w:rPr>
          <w:i/>
        </w:rPr>
        <w:t>30159 Hannover</w:t>
      </w:r>
    </w:p>
    <w:p>
      <w:pPr>
        <w:ind w:left="567"/>
      </w:pPr>
    </w:p>
    <w:p>
      <w:pPr>
        <w:ind w:left="567"/>
      </w:pPr>
      <w:r>
        <w:rPr>
          <w:i/>
        </w:rPr>
        <w:t>Deutscher Bundestag</w:t>
      </w:r>
    </w:p>
    <w:p>
      <w:pPr>
        <w:ind w:left="567"/>
      </w:pPr>
      <w:r>
        <w:rPr>
          <w:i/>
        </w:rPr>
        <w:t>Verwaltung des Deutschen Bundestages</w:t>
      </w:r>
    </w:p>
    <w:p>
      <w:pPr>
        <w:ind w:left="567"/>
      </w:pPr>
      <w:r>
        <w:rPr>
          <w:i/>
        </w:rPr>
        <w:t>Lobbyregisterstelle</w:t>
      </w:r>
    </w:p>
    <w:p>
      <w:pPr>
        <w:ind w:left="567"/>
      </w:pPr>
      <w:r>
        <w:rPr>
          <w:i/>
        </w:rPr>
        <w:t>Platz der Republik 1</w:t>
      </w:r>
    </w:p>
    <w:p>
      <w:pPr>
        <w:ind w:left="567"/>
      </w:pPr>
      <w:r>
        <w:rPr>
          <w:i/>
        </w:rPr>
        <w:t>11011 Berlin</w:t>
      </w:r>
    </w:p>
    <w:p>
      <w:pPr>
        <w:ind w:left="567"/>
      </w:pPr>
    </w:p>
    <w:p>
      <w:pPr>
        <w:ind w:left="567"/>
      </w:pPr>
      <w:r>
        <w:rPr>
          <w:i/>
        </w:rPr>
        <w:t>Vorab per E-Mail: &lt;lobbyregister@bundestag.de&gt;</w:t>
      </w:r>
    </w:p>
    <w:p>
      <w:pPr>
        <w:ind w:left="567"/>
      </w:pPr>
      <w:r>
        <w:rPr>
          <w:i/>
        </w:rPr>
        <w:t>Hannover, 19.05.2026</w:t>
      </w:r>
    </w:p>
    <w:p>
      <w:pPr>
        <w:ind w:left="567"/>
      </w:pPr>
    </w:p>
    <w:p>
      <w:pPr>
        <w:ind w:left="567"/>
      </w:pPr>
      <w:r>
        <w:rPr>
          <w:b/>
          <w:i/>
        </w:rPr>
        <w:t>Anfrage zur Auslegung von § 2 Abs. 2 und § 2 Abs. 4 LobbyRG für die Buergerinitiative Waldmoor 2030</w:t>
      </w:r>
    </w:p>
    <w:p>
      <w:pPr>
        <w:ind w:left="567"/>
      </w:pPr>
    </w:p>
    <w:p>
      <w:pPr>
        <w:ind w:left="567"/>
      </w:pPr>
      <w:r>
        <w:rPr>
          <w:i/>
        </w:rPr>
        <w:t>Sehr geehrte Damen und Herren,</w:t>
      </w:r>
    </w:p>
    <w:p>
      <w:pPr>
        <w:ind w:left="567"/>
      </w:pPr>
    </w:p>
    <w:p>
      <w:pPr>
        <w:ind w:left="567"/>
      </w:pPr>
      <w:r>
        <w:rPr>
          <w:i/>
        </w:rPr>
        <w:t>namens und in Vollmacht der Buergerinitiative Waldmoor 2030 (im Folgenden: "die Initiative") bitten wir um Auskunft zu folgenden Punkten:</w:t>
      </w:r>
    </w:p>
    <w:p>
      <w:pPr>
        <w:ind w:left="567"/>
      </w:pPr>
    </w:p>
    <w:p>
      <w:pPr>
        <w:ind w:left="567"/>
      </w:pPr>
      <w:r>
        <w:rPr>
          <w:i/>
        </w:rPr>
        <w:t>1. Die Initiative ist als loses Netzwerk ohne Rechtsform organisiert. Sie hat am 02.04.2026 eine Petition eingereicht (Vorgangsnummer 4-26-15-928-039123) und wird am 03.06.2026 als Sachverständige in einer öffentlichen Anhörung des Verkehrsausschusses gehört. Daneben führt sie eigeninitiierte Kontakte zu Bundestagsabgeordneten und dem Bundesministerium für Digitales und Verkehr (BMDV).</w:t>
      </w:r>
    </w:p>
    <w:p>
      <w:pPr>
        <w:ind w:left="567"/>
      </w:pPr>
      <w:r>
        <w:rPr>
          <w:i/>
        </w:rPr>
        <w:t>2. Bitte um Bestätigung, dass die Einreichung und Begründung der Petition nach § 2 Abs. 4 Nr. 5 LobbyRG nicht als Interessenvertretung gilt.</w:t>
      </w:r>
    </w:p>
    <w:p>
      <w:pPr>
        <w:ind w:left="567"/>
      </w:pPr>
      <w:r>
        <w:rPr>
          <w:i/>
        </w:rPr>
        <w:t>3. Bitte um Bestätigung, dass die Teilnahme an einer öffentlichen Anhörung auf Einladung nach § 2 Abs. 2 Satz 1 Nr. 4 LobbyRG nicht als Interessenvertretung gilt, auch nicht hinsichtlich der inhaltlichen Vorbereitung der Anhörung.</w:t>
      </w:r>
    </w:p>
    <w:p>
      <w:pPr>
        <w:ind w:left="567"/>
      </w:pPr>
      <w:r>
        <w:rPr>
          <w:i/>
        </w:rPr>
        <w:t>4. Bitte um Hinweis, wie die parallel laufenden eigeninitiierten Kontakte zu Bundestag und BMDV (vgl. anliegendes Kontaktlog) registerrechtlich einzuordnen sind, wenn sie thematisch mit der Petition oder der Anhörung übereinstimmen.</w:t>
      </w:r>
    </w:p>
    <w:p>
      <w:pPr>
        <w:ind w:left="567"/>
      </w:pPr>
      <w:r>
        <w:rPr>
          <w:i/>
        </w:rPr>
        <w:t>5. Bitte um Hinweis, ob die Initiative trotz fehlender Rechtsform als "sonstige Organisation" im Sinne des § 1 Abs. 4 LobbyRG eintragen werden kann und welche Mindestangaben hier erforderlich sind.</w:t>
      </w:r>
    </w:p>
    <w:p>
      <w:pPr>
        <w:ind w:left="567"/>
      </w:pPr>
      <w:r>
        <w:rPr>
          <w:i/>
        </w:rPr>
        <w:t>6. Bitte um Hinweis, in welcher Frist eine Pflichteintragung erfolgen muss, wenn die Schwelle "regelmaessig oder auf Dauer angelegt" Mitte Mai 2026 erreicht wurde.</w:t>
      </w:r>
    </w:p>
    <w:p>
      <w:pPr>
        <w:ind w:left="567"/>
      </w:pPr>
      <w:r>
        <w:rPr>
          <w:i/>
        </w:rPr>
        <w:t>7. Bitte um Hinweis, ob eine nicht angenommene Spende einer juristischen Person im Eintragsfeld "Drittmittel" zu erwähnen ist, wenn sie zurueckueberwiesen wurde.</w:t>
      </w:r>
    </w:p>
    <w:p>
      <w:pPr>
        <w:ind w:left="567"/>
      </w:pPr>
    </w:p>
    <w:p>
      <w:pPr>
        <w:ind w:left="567"/>
      </w:pPr>
      <w:r>
        <w:rPr>
          <w:i/>
        </w:rPr>
        <w:t>Anlagen:</w:t>
      </w:r>
    </w:p>
    <w:p>
      <w:pPr>
        <w:ind w:left="567"/>
      </w:pPr>
      <w:r>
        <w:rPr>
          <w:i/>
        </w:rPr>
        <w:t>- Aktenübersicht der Initiative</w:t>
      </w:r>
    </w:p>
    <w:p>
      <w:pPr>
        <w:ind w:left="567"/>
      </w:pPr>
      <w:r>
        <w:rPr>
          <w:i/>
        </w:rPr>
        <w:t>- Kontaktlog Stand 18.05.2026</w:t>
      </w:r>
    </w:p>
    <w:p>
      <w:pPr>
        <w:ind w:left="567"/>
      </w:pPr>
      <w:r>
        <w:rPr>
          <w:i/>
        </w:rPr>
        <w:t>- Spendenliste Stand 18.05.2026 (anonymisiert hinsichtlich Privatpersonen)</w:t>
      </w:r>
    </w:p>
    <w:p>
      <w:pPr>
        <w:ind w:left="567"/>
      </w:pPr>
      <w:r>
        <w:rPr>
          <w:i/>
        </w:rPr>
        <w:t>- Einladung des Verkehrsausschusses vom 03.05.2026</w:t>
      </w:r>
    </w:p>
    <w:p>
      <w:pPr>
        <w:ind w:left="567"/>
      </w:pPr>
    </w:p>
    <w:p>
      <w:pPr>
        <w:ind w:left="567"/>
      </w:pPr>
      <w:r>
        <w:rPr>
          <w:i/>
        </w:rPr>
        <w:t>Wir bitten um Auskunft per E-Mail bis zum 27.05.2026, weil die Initiative ab dem 28.05.2026 die Eintragsentscheidung trifft und am 03.06.2026 als Sachverständige geladen ist.</w:t>
      </w:r>
    </w:p>
    <w:p>
      <w:pPr>
        <w:ind w:left="567"/>
      </w:pPr>
    </w:p>
    <w:p>
      <w:pPr>
        <w:ind w:left="567"/>
      </w:pPr>
      <w:r>
        <w:rPr>
          <w:i/>
        </w:rPr>
        <w:t>Mit freundlichen Gruessen</w:t>
      </w:r>
    </w:p>
    <w:p>
      <w:pPr>
        <w:ind w:left="567"/>
      </w:pPr>
      <w:r>
        <w:rPr>
          <w:i/>
        </w:rPr>
        <w:t>Julia Stern</w:t>
      </w:r>
    </w:p>
    <w:p>
      <w:pPr>
        <w:ind w:left="567"/>
      </w:pPr>
      <w:r>
        <w:rPr>
          <w:i/>
        </w:rPr>
        <w:t>Rechtsanwältin</w:t>
      </w:r>
    </w:p>
    <w:p>
      <w:pPr>
        <w:pStyle w:val="Heading2"/>
      </w:pPr>
      <w:r>
        <w:rPr>
          <w:rFonts w:ascii="Times New Roman" w:hAnsi="Times New Roman"/>
        </w:rPr>
        <w:t>2. Antwortschreiben der Registerstelle vom 21.05.2026 (Eingang)</w:t>
      </w:r>
    </w:p>
    <w:p>
      <w:pPr>
        <w:ind w:left="567"/>
      </w:pPr>
      <w:r>
        <w:rPr>
          <w:i/>
        </w:rPr>
        <w:t>Deutscher Bundestag</w:t>
      </w:r>
    </w:p>
    <w:p>
      <w:pPr>
        <w:ind w:left="567"/>
      </w:pPr>
      <w:r>
        <w:rPr>
          <w:i/>
        </w:rPr>
        <w:t>Verwaltung – Lobbyregisterstelle –</w:t>
      </w:r>
    </w:p>
    <w:p>
      <w:pPr>
        <w:ind w:left="567"/>
      </w:pPr>
      <w:r>
        <w:rPr>
          <w:i/>
        </w:rPr>
        <w:t>Berlin, 21.05.2026</w:t>
      </w:r>
    </w:p>
    <w:p>
      <w:pPr>
        <w:ind w:left="567"/>
      </w:pPr>
    </w:p>
    <w:p>
      <w:pPr>
        <w:ind w:left="567"/>
      </w:pPr>
      <w:r>
        <w:rPr>
          <w:i/>
        </w:rPr>
        <w:t>Sehr geehrte Frau Rechtsanwältin Stern,</w:t>
      </w:r>
    </w:p>
    <w:p>
      <w:pPr>
        <w:ind w:left="567"/>
      </w:pPr>
    </w:p>
    <w:p>
      <w:pPr>
        <w:ind w:left="567"/>
      </w:pPr>
      <w:r>
        <w:rPr>
          <w:i/>
        </w:rPr>
        <w:t>wir bestätigen den Eingang Ihres Schreibens vom 19.05.2026 und antworten wie folgt. Hinweis vorab: Die Registerstelle gibt keine rechtsverbindliche Auslegung, sondern allgemeine Hinweise zur Praxis.</w:t>
      </w:r>
    </w:p>
    <w:p>
      <w:pPr>
        <w:ind w:left="567"/>
      </w:pPr>
    </w:p>
    <w:p>
      <w:pPr>
        <w:ind w:left="567"/>
      </w:pPr>
      <w:r>
        <w:rPr>
          <w:i/>
        </w:rPr>
        <w:t>Zu 2.: Die Einreichung und Begründung von Petitionen ist nach § 2 Abs. 4 Nr. 5 LobbyRG keine Interessenvertretung. Diese Ausnahme ist eng auszulegen. Sie deckt nicht die Lobbykontakte, die anlässlich einer Petition zusätzlich geführt werden.</w:t>
      </w:r>
    </w:p>
    <w:p>
      <w:pPr>
        <w:ind w:left="567"/>
      </w:pPr>
    </w:p>
    <w:p>
      <w:pPr>
        <w:ind w:left="567"/>
      </w:pPr>
      <w:r>
        <w:rPr>
          <w:i/>
        </w:rPr>
        <w:t>Zu 3.: Die Teilnahme an öffentlichen Anhörungen auf Einladung des Bundestages, eines Ausschusses oder der Bundesregierung gilt nach § 2 Abs. 2 Satz 1 Nr. 4 LobbyRG nicht als Interessenvertretung. Diese Ausnahme erstreckt sich praxisseitig auch auf die unmittelbar mit dem Anhörungstermin verbundene Vorbereitung (insbes. die schriftliche Stellungnahme nach Aufforderung des Ausschusses). Sie umfasst nicht die eigeninitiierten Kontakte zu Abgeordneten oder Ministerien, die unabhängig von der Einladung erfolgen.</w:t>
      </w:r>
    </w:p>
    <w:p>
      <w:pPr>
        <w:ind w:left="567"/>
      </w:pPr>
    </w:p>
    <w:p>
      <w:pPr>
        <w:ind w:left="567"/>
      </w:pPr>
      <w:r>
        <w:rPr>
          <w:i/>
        </w:rPr>
        <w:t>Zu 4.: Wiederholte, gezielte und planhafte Kontakte zu Bundestag und Bundesregierung erfüllen typischerweise das Merkmal der "regelmaessigen oder auf Dauer angelegten" Interessenvertretung im Sinne des § 1 Abs. 4 LobbyRG. Eine thematische Nähe zur Petition oder zur Anhörung beseitigt die Pflicht nicht. Massgeblich ist eine Gesamtschau aus Anzahl, Frequenz und Inhalt der Kontakte.</w:t>
      </w:r>
    </w:p>
    <w:p>
      <w:pPr>
        <w:ind w:left="567"/>
      </w:pPr>
    </w:p>
    <w:p>
      <w:pPr>
        <w:ind w:left="567"/>
      </w:pPr>
      <w:r>
        <w:rPr>
          <w:i/>
        </w:rPr>
        <w:t>Zu 5.: Eine nichtrechtsfaehige Personenvereinigung kann als "sonstige Organisation" eingetragen werden. Erforderlich sind insbesondere Angaben zu Bezeichnung, Anschrift, vertretungsbefugten oder sprechbefugten Personen, Tätigkeitsbeschreibung, Finanzierung und Mitgliederzahl (sofern bezifferbar). Anonymität einzelner Personen wird nicht akzeptiert.</w:t>
      </w:r>
    </w:p>
    <w:p>
      <w:pPr>
        <w:ind w:left="567"/>
      </w:pPr>
    </w:p>
    <w:p>
      <w:pPr>
        <w:ind w:left="567"/>
      </w:pPr>
      <w:r>
        <w:rPr>
          <w:i/>
        </w:rPr>
        <w:t>Zu 6.: Bei Eintritt einer Pflicht ist die Eintragung unverzüglich vorzunehmen. Eine starre Frist nennt das Gesetz nicht. In der Praxis erwarten wir eine Eintragung innerhalb von vier Wochen nach Erreichen der Schwelle, bei klaren Fällen früher. Die Erreichung der Schwelle ist im Einzelfall zu dokumentieren.</w:t>
      </w:r>
    </w:p>
    <w:p>
      <w:pPr>
        <w:ind w:left="567"/>
      </w:pPr>
    </w:p>
    <w:p>
      <w:pPr>
        <w:ind w:left="567"/>
      </w:pPr>
      <w:r>
        <w:rPr>
          <w:i/>
        </w:rPr>
        <w:t>Zu 7.: Nicht angenommene Spenden, die zurueckueberwiesen wurden, sind als Spende nicht zu erfassen. Sofern die Initiative öffentlich auftritt und dort behauptet, keine Unternehmensmittel erhalten zu haben, ist der Vorgang gleichwohl nachvollziehbar zu dokumentieren, weil die Registerstelle in Auskunftsfällen darauf zurückgreifen könnte.</w:t>
      </w:r>
    </w:p>
    <w:p>
      <w:pPr>
        <w:ind w:left="567"/>
      </w:pPr>
    </w:p>
    <w:p>
      <w:pPr>
        <w:ind w:left="567"/>
      </w:pPr>
      <w:r>
        <w:rPr>
          <w:i/>
        </w:rPr>
        <w:t>Weitere Beratung leistet die Registerstelle nicht. Für rechtliche Detailfragen verweisen wir auf die anwaltliche Pruefung.</w:t>
      </w:r>
    </w:p>
    <w:p>
      <w:pPr>
        <w:ind w:left="567"/>
      </w:pPr>
    </w:p>
    <w:p>
      <w:pPr>
        <w:ind w:left="567"/>
      </w:pPr>
      <w:r>
        <w:rPr>
          <w:i/>
        </w:rPr>
        <w:t>Mit freundlichen Gruessen</w:t>
      </w:r>
    </w:p>
    <w:p>
      <w:pPr>
        <w:ind w:left="567"/>
      </w:pPr>
      <w:r>
        <w:rPr>
          <w:i/>
        </w:rPr>
        <w:t>Im Auftrag</w:t>
      </w:r>
    </w:p>
    <w:p>
      <w:pPr>
        <w:ind w:left="567"/>
      </w:pPr>
      <w:r>
        <w:rPr>
          <w:i/>
        </w:rPr>
        <w:t>Dr. Helmer Saalfeld</w:t>
      </w:r>
    </w:p>
    <w:p>
      <w:pPr>
        <w:ind w:left="567"/>
      </w:pPr>
      <w:r>
        <w:rPr>
          <w:i/>
        </w:rPr>
        <w:t>Referatsleiter Lobbyregisterstelle</w:t>
      </w:r>
    </w:p>
    <w:p>
      <w:pPr>
        <w:pStyle w:val="Heading2"/>
      </w:pPr>
      <w:r>
        <w:rPr>
          <w:rFonts w:ascii="Times New Roman" w:hAnsi="Times New Roman"/>
        </w:rPr>
        <w:t>3. Internes Fazit</w:t>
      </w:r>
    </w:p>
    <w:p>
      <w:pPr>
        <w:pStyle w:val="ListBullet"/>
      </w:pPr>
      <w:r>
        <w:t>Die Antwort bestätigt unsere Lesart: Petition und Anhörung sind ausgenommen; die eigeninitiierten Kontakte nicht.</w:t>
      </w:r>
    </w:p>
    <w:p>
      <w:pPr>
        <w:pStyle w:val="ListBullet"/>
      </w:pPr>
      <w:r>
        <w:t>Die Angabe "innerhalb von vier Wochen" ist praktisch wichtig: Wenn die Schwelle Mitte Mai 2026 erreicht wurde, ist eine Eintragung bis spätestens Mitte Juni 2026 zwingend.</w:t>
      </w:r>
    </w:p>
    <w:p>
      <w:pPr>
        <w:pStyle w:val="ListBullet"/>
      </w:pPr>
      <w:r>
        <w:t>Zur Spendenfrage haben wir Rechtssicherheit: Rueckueberwiesene Spende nicht im Drittmittelfeld, aber intern dokumentieren.</w:t>
      </w:r>
    </w:p>
    <w:p>
      <w:pPr>
        <w:pStyle w:val="ListBullet"/>
      </w:pPr>
      <w:r>
        <w:t>Die Aussage zur Anonymität einzelner Personen schliesst eine "Sprecher-anonyme" Eintragung aus. Luise Barmbek und Navid Sahin werden namentlich geführt.</w:t>
      </w:r>
    </w:p>
    <w:p>
      <w:pPr>
        <w:pStyle w:val="Heading2"/>
      </w:pPr>
      <w:r>
        <w:rPr>
          <w:rFonts w:ascii="Times New Roman" w:hAnsi="Times New Roman"/>
        </w:rPr>
        <w:t>4. Nächste Schritte</w:t>
      </w:r>
    </w:p>
    <w:p>
      <w:pPr>
        <w:pStyle w:val="ListBullet"/>
      </w:pPr>
      <w:r>
        <w:t>Eintragungsfrist: spätestens 12.06.2026 (vier Wochen nach 15.05.2026 als angenommenem Schwellendatum).</w:t>
      </w:r>
    </w:p>
    <w:p>
      <w:pPr>
        <w:pStyle w:val="ListBullet"/>
      </w:pPr>
      <w:r>
        <w:t>Präventive Vorab-Anmeldung am 28.05.2026, damit der Eintrag vor der Anhörung am 03.06.2026 öffentlich sichtbar ist.</w:t>
      </w:r>
    </w:p>
    <w:p>
      <w:pPr>
        <w:pStyle w:val="ListBullet"/>
      </w:pPr>
      <w:r>
        <w:t>Hinweis für Statement Anhörung: "Pflichteintragung in Vorbereitung, voraussichtliches Veröffentlichungsdatum 30.05.2026."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Stern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STERN &amp; PARTNER MBB</w:t>
    </w:r>
  </w:p>
  <w:p>
    <w:pPr>
      <w:jc w:val="left"/>
      <w:pBdr>
        <w:bottom w:val="single" w:sz="8" w:space="2" w:color="7B2D3B"/>
      </w:pBdr>
    </w:pPr>
    <w:r>
      <w:rPr>
        <w:rFonts w:ascii="Times New Roman" w:hAnsi="Times New Roman"/>
        <w:color w:val="6B6B66"/>
        <w:sz w:val="16"/>
      </w:rPr>
      <w:t>Rechtsanwaltskanzlei · Aktenzeichen Kanzlei: WM-2030-LR-2026/04/Bunde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