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Kostenstellenmapping</w:t>
      </w:r>
    </w:p>
    <w:p>
      <w:pPr>
        <w:jc w:val="left"/>
      </w:pPr>
      <w:r>
        <w:t>Die Finanzabteilung liefert drei widersprüchliche Kostenstellen: DUB-PP, FRA-REG und BER-CONS. In der ersten Tabelle waren die Reisekosten von Jonas doppelt erfasst, einmal unter FRA-REG und einmal unter BER-CONS.</w:t>
      </w:r>
    </w:p>
    <w:p>
      <w:pPr>
        <w:pStyle w:val="Heading2"/>
      </w:pPr>
      <w:r>
        <w:rPr>
          <w:rFonts w:ascii="Times New Roman" w:hAnsi="Times New Roman"/>
        </w:rPr>
        <w:t>Bereinigung</w:t>
      </w:r>
    </w:p>
    <w:p>
      <w:pPr>
        <w:pStyle w:val="ListBullet"/>
      </w:pPr>
      <w:r>
        <w:t>DUB-PP: Strategische Steuerung und Policy Drafting</w:t>
      </w:r>
    </w:p>
    <w:p>
      <w:pPr>
        <w:pStyle w:val="ListBullet"/>
      </w:pPr>
      <w:r>
        <w:t>FRA-REG: deutsche Termine und Vorhabenmonitoring</w:t>
      </w:r>
    </w:p>
    <w:p>
      <w:pPr>
        <w:pStyle w:val="ListBullet"/>
      </w:pPr>
      <w:r>
        <w:t>BER-CONS: externe Agentur Spreebogen Regulatory GmbH, nur Terminorganisation</w:t>
      </w:r>
    </w:p>
    <w:p>
      <w:pPr>
        <w:pStyle w:val="Heading2"/>
      </w:pPr>
      <w:r>
        <w:rPr>
          <w:rFonts w:ascii="Times New Roman" w:hAnsi="Times New Roman"/>
        </w:rPr>
        <w:t>Prüfpunkt</w:t>
      </w:r>
    </w:p>
    <w:p>
      <w:pPr>
        <w:jc w:val="left"/>
      </w:pPr>
      <w:r>
        <w:t>Kanzlei soll klären, ob Beratungskosten für die Lobbyregister-Registrierung selbst als finanzielle Aufwendung für Interessenvertretung oder als Compliance-Rechtsberatung zu behandeln sind.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Agentur Spreebogen Regulatory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Agentur Spreebogen Regulatory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nur Terminorganisation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