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Unterauftrag OpenGrid Events UG</w:t>
      </w:r>
    </w:p>
    <w:p>
      <w:pPr>
        <w:jc w:val="left"/>
      </w:pPr>
      <w:r>
        <w:rPr>
          <w:b/>
        </w:rPr>
        <w:t>Vertragspartnerin:</w:t>
      </w:r>
      <w:r>
        <w:t xml:space="preserve"> OpenGrid Events UG (haftungsbeschraenkt), Kantstr. 144, 10623 Berlin, vertreten durch Eric Tongers (Geschäftsführer)</w:t>
      </w:r>
    </w:p>
    <w:p>
      <w:pPr>
        <w:jc w:val="left"/>
      </w:pPr>
      <w:r>
        <w:rPr>
          <w:b/>
        </w:rPr>
        <w:t>Auftragnehmerin (Hauptauftrag):</w:t>
      </w:r>
      <w:r>
        <w:t xml:space="preserve"> Spreebogen Regulatory GmbH, Berlin</w:t>
      </w:r>
    </w:p>
    <w:p>
      <w:pPr>
        <w:jc w:val="left"/>
      </w:pPr>
      <w:r>
        <w:rPr>
          <w:b/>
        </w:rPr>
        <w:t>Vertragsbeginn:</w:t>
      </w:r>
      <w:r>
        <w:t xml:space="preserve"> 12.04.2026</w:t>
      </w:r>
    </w:p>
    <w:p>
      <w:pPr>
        <w:jc w:val="left"/>
      </w:pPr>
      <w:r>
        <w:rPr>
          <w:b/>
        </w:rPr>
        <w:t>Vertragszweck (laut Anlage 1):</w:t>
      </w:r>
    </w:p>
    <w:p>
      <w:pPr>
        <w:ind w:left="567"/>
      </w:pPr>
      <w:r>
        <w:rPr>
          <w:i/>
        </w:rPr>
        <w:t>"Organisation eines parlamentarischen Fachgesprächs am 12.06.2026 im Tagungszentrum Spreebogen. Leistungen: Raum, Catering, Technik, Einladungsmanagement, Gästeliste, Akkreditierung."</w:t>
      </w:r>
    </w:p>
    <w:p>
      <w:pPr>
        <w:jc w:val="left"/>
      </w:pPr>
      <w:r>
        <w:rPr>
          <w:b/>
        </w:rPr>
        <w:t>Vertragsumfang:</w:t>
      </w:r>
      <w:r>
        <w:t xml:space="preserve"> 9.500 EUR netto</w:t>
      </w:r>
    </w:p>
    <w:p>
      <w:pPr>
        <w:pStyle w:val="Heading2"/>
      </w:pPr>
      <w:r>
        <w:rPr>
          <w:rFonts w:ascii="Times New Roman" w:hAnsi="Times New Roman"/>
        </w:rPr>
        <w:t>Tatsächlich erbrachte Leistungen (Rechnungen OG-2026-144 bis OG-2026-146)</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rFonts w:ascii="Times New Roman" w:hAnsi="Times New Roman"/>
                <w:b/>
                <w:sz w:val="20"/>
              </w:rPr>
              <w:t>Rechnung</w:t>
            </w:r>
          </w:p>
        </w:tc>
        <w:tc>
          <w:tcPr>
            <w:tcW w:type="dxa" w:w="1296"/>
          </w:tcPr>
          <w:p>
            <w:r>
              <w:rPr>
                <w:rFonts w:ascii="Times New Roman" w:hAnsi="Times New Roman"/>
                <w:b/>
                <w:sz w:val="20"/>
              </w:rPr>
              <w:t>Datum</w:t>
            </w:r>
          </w:p>
        </w:tc>
        <w:tc>
          <w:tcPr>
            <w:tcW w:type="dxa" w:w="1296"/>
          </w:tcPr>
          <w:p>
            <w:r>
              <w:rPr>
                <w:rFonts w:ascii="Times New Roman" w:hAnsi="Times New Roman"/>
                <w:b/>
                <w:sz w:val="20"/>
              </w:rPr>
              <w:t>Leistung</w:t>
            </w:r>
          </w:p>
        </w:tc>
        <w:tc>
          <w:tcPr>
            <w:tcW w:type="dxa" w:w="1296"/>
          </w:tcPr>
          <w:p>
            <w:r>
              <w:rPr>
                <w:rFonts w:ascii="Times New Roman" w:hAnsi="Times New Roman"/>
                <w:b/>
                <w:sz w:val="20"/>
              </w:rPr>
              <w:t>Netto EUR</w:t>
            </w:r>
          </w:p>
        </w:tc>
        <w:tc>
          <w:tcPr>
            <w:tcW w:type="dxa" w:w="1296"/>
          </w:tcPr>
          <w:p>
            <w:r>
              <w:rPr>
                <w:rFonts w:ascii="Times New Roman" w:hAnsi="Times New Roman"/>
                <w:b/>
                <w:sz w:val="20"/>
              </w:rPr>
              <w:t>Brutto EUR</w:t>
            </w:r>
          </w:p>
        </w:tc>
        <w:tc>
          <w:tcPr>
            <w:tcW w:type="dxa" w:w="1296"/>
          </w:tcPr>
          <w:p>
            <w:r>
              <w:rPr>
                <w:rFonts w:ascii="Times New Roman" w:hAnsi="Times New Roman"/>
                <w:b/>
                <w:sz w:val="20"/>
              </w:rPr>
              <w:t>Vertraglich?</w:t>
            </w:r>
          </w:p>
        </w:tc>
        <w:tc>
          <w:tcPr>
            <w:tcW w:type="dxa" w:w="1296"/>
          </w:tcPr>
          <w:p>
            <w:r>
              <w:rPr>
                <w:rFonts w:ascii="Times New Roman" w:hAnsi="Times New Roman"/>
                <w:b/>
                <w:sz w:val="20"/>
              </w:rPr>
              <w:t>Lobbying-Anteil</w:t>
            </w:r>
          </w:p>
        </w:tc>
      </w:tr>
      <w:tr>
        <w:tc>
          <w:tcPr>
            <w:tcW w:type="dxa" w:w="1296"/>
          </w:tcPr>
          <w:p>
            <w:r>
              <w:rPr>
                <w:rFonts w:ascii="Times New Roman" w:hAnsi="Times New Roman"/>
                <w:sz w:val="20"/>
              </w:rPr>
              <w:t>OG-2026-144</w:t>
            </w:r>
          </w:p>
        </w:tc>
        <w:tc>
          <w:tcPr>
            <w:tcW w:type="dxa" w:w="1296"/>
          </w:tcPr>
          <w:p>
            <w:r>
              <w:rPr>
                <w:rFonts w:ascii="Times New Roman" w:hAnsi="Times New Roman"/>
                <w:sz w:val="20"/>
              </w:rPr>
              <w:t>2026-05-24</w:t>
            </w:r>
          </w:p>
        </w:tc>
        <w:tc>
          <w:tcPr>
            <w:tcW w:type="dxa" w:w="1296"/>
          </w:tcPr>
          <w:p>
            <w:r>
              <w:rPr>
                <w:rFonts w:ascii="Times New Roman" w:hAnsi="Times New Roman"/>
                <w:sz w:val="20"/>
              </w:rPr>
              <w:t>Raumbuchung, Catering, Technik, Akkreditierung</w:t>
            </w:r>
          </w:p>
        </w:tc>
        <w:tc>
          <w:tcPr>
            <w:tcW w:type="dxa" w:w="1296"/>
          </w:tcPr>
          <w:p>
            <w:r>
              <w:rPr>
                <w:rFonts w:ascii="Times New Roman" w:hAnsi="Times New Roman"/>
                <w:sz w:val="20"/>
              </w:rPr>
              <w:t>4.200,00</w:t>
            </w:r>
          </w:p>
        </w:tc>
        <w:tc>
          <w:tcPr>
            <w:tcW w:type="dxa" w:w="1296"/>
          </w:tcPr>
          <w:p>
            <w:r>
              <w:rPr>
                <w:rFonts w:ascii="Times New Roman" w:hAnsi="Times New Roman"/>
                <w:sz w:val="20"/>
              </w:rPr>
              <w:t>4.998,00</w:t>
            </w:r>
          </w:p>
        </w:tc>
        <w:tc>
          <w:tcPr>
            <w:tcW w:type="dxa" w:w="1296"/>
          </w:tcPr>
          <w:p>
            <w:r>
              <w:rPr>
                <w:rFonts w:ascii="Times New Roman" w:hAnsi="Times New Roman"/>
                <w:sz w:val="20"/>
              </w:rPr>
              <w:t>ja</w:t>
            </w:r>
          </w:p>
        </w:tc>
        <w:tc>
          <w:tcPr>
            <w:tcW w:type="dxa" w:w="1296"/>
          </w:tcPr>
          <w:p>
            <w:r>
              <w:rPr>
                <w:rFonts w:ascii="Times New Roman" w:hAnsi="Times New Roman"/>
                <w:sz w:val="20"/>
              </w:rPr>
              <w:t>nein</w:t>
            </w:r>
          </w:p>
        </w:tc>
      </w:tr>
      <w:tr>
        <w:tc>
          <w:tcPr>
            <w:tcW w:type="dxa" w:w="1296"/>
          </w:tcPr>
          <w:p>
            <w:r>
              <w:rPr>
                <w:rFonts w:ascii="Times New Roman" w:hAnsi="Times New Roman"/>
                <w:sz w:val="20"/>
              </w:rPr>
              <w:t>OG-2026-145</w:t>
            </w:r>
          </w:p>
        </w:tc>
        <w:tc>
          <w:tcPr>
            <w:tcW w:type="dxa" w:w="1296"/>
          </w:tcPr>
          <w:p>
            <w:r>
              <w:rPr>
                <w:rFonts w:ascii="Times New Roman" w:hAnsi="Times New Roman"/>
                <w:sz w:val="20"/>
              </w:rPr>
              <w:t>2026-05-24</w:t>
            </w:r>
          </w:p>
        </w:tc>
        <w:tc>
          <w:tcPr>
            <w:tcW w:type="dxa" w:w="1296"/>
          </w:tcPr>
          <w:p>
            <w:r>
              <w:rPr>
                <w:rFonts w:ascii="Times New Roman" w:hAnsi="Times New Roman"/>
                <w:sz w:val="20"/>
              </w:rPr>
              <w:t>Stakeholder-Mapping ("Wer ist im Verkehrs-, Wirtschafts-, Umweltausschuss zuständig für Wasserstoff")</w:t>
            </w:r>
          </w:p>
        </w:tc>
        <w:tc>
          <w:tcPr>
            <w:tcW w:type="dxa" w:w="1296"/>
          </w:tcPr>
          <w:p>
            <w:r>
              <w:rPr>
                <w:rFonts w:ascii="Times New Roman" w:hAnsi="Times New Roman"/>
                <w:sz w:val="20"/>
              </w:rPr>
              <w:t>1.500,00</w:t>
            </w:r>
          </w:p>
        </w:tc>
        <w:tc>
          <w:tcPr>
            <w:tcW w:type="dxa" w:w="1296"/>
          </w:tcPr>
          <w:p>
            <w:r>
              <w:rPr>
                <w:rFonts w:ascii="Times New Roman" w:hAnsi="Times New Roman"/>
                <w:sz w:val="20"/>
              </w:rPr>
              <w:t>1.785,00</w:t>
            </w:r>
          </w:p>
        </w:tc>
        <w:tc>
          <w:tcPr>
            <w:tcW w:type="dxa" w:w="1296"/>
          </w:tcPr>
          <w:p>
            <w:r>
              <w:rPr>
                <w:rFonts w:ascii="Times New Roman" w:hAnsi="Times New Roman"/>
                <w:sz w:val="20"/>
              </w:rPr>
              <w:t>nicht in Anlage 1</w:t>
            </w:r>
          </w:p>
        </w:tc>
        <w:tc>
          <w:tcPr>
            <w:tcW w:type="dxa" w:w="1296"/>
          </w:tcPr>
          <w:p>
            <w:r>
              <w:rPr>
                <w:rFonts w:ascii="Times New Roman" w:hAnsi="Times New Roman"/>
                <w:sz w:val="20"/>
              </w:rPr>
              <w:t>möglich</w:t>
            </w:r>
          </w:p>
        </w:tc>
      </w:tr>
      <w:tr>
        <w:tc>
          <w:tcPr>
            <w:tcW w:type="dxa" w:w="1296"/>
          </w:tcPr>
          <w:p>
            <w:r>
              <w:rPr>
                <w:rFonts w:ascii="Times New Roman" w:hAnsi="Times New Roman"/>
                <w:sz w:val="20"/>
              </w:rPr>
              <w:t>OG-2026-146</w:t>
            </w:r>
          </w:p>
        </w:tc>
        <w:tc>
          <w:tcPr>
            <w:tcW w:type="dxa" w:w="1296"/>
          </w:tcPr>
          <w:p>
            <w:r>
              <w:rPr>
                <w:rFonts w:ascii="Times New Roman" w:hAnsi="Times New Roman"/>
                <w:sz w:val="20"/>
              </w:rPr>
              <w:t>2026-05-24</w:t>
            </w:r>
          </w:p>
        </w:tc>
        <w:tc>
          <w:tcPr>
            <w:tcW w:type="dxa" w:w="1296"/>
          </w:tcPr>
          <w:p>
            <w:r>
              <w:rPr>
                <w:rFonts w:ascii="Times New Roman" w:hAnsi="Times New Roman"/>
                <w:sz w:val="20"/>
              </w:rPr>
              <w:t>"Argumentationspapier Einladung" (Textbausteine für Einladung, Talking Points für Eric Tongers selbst)</w:t>
            </w:r>
          </w:p>
        </w:tc>
        <w:tc>
          <w:tcPr>
            <w:tcW w:type="dxa" w:w="1296"/>
          </w:tcPr>
          <w:p>
            <w:r>
              <w:rPr>
                <w:rFonts w:ascii="Times New Roman" w:hAnsi="Times New Roman"/>
                <w:sz w:val="20"/>
              </w:rPr>
              <w:t>500,00</w:t>
            </w:r>
          </w:p>
        </w:tc>
        <w:tc>
          <w:tcPr>
            <w:tcW w:type="dxa" w:w="1296"/>
          </w:tcPr>
          <w:p>
            <w:r>
              <w:rPr>
                <w:rFonts w:ascii="Times New Roman" w:hAnsi="Times New Roman"/>
                <w:sz w:val="20"/>
              </w:rPr>
              <w:t>595,00</w:t>
            </w:r>
          </w:p>
        </w:tc>
        <w:tc>
          <w:tcPr>
            <w:tcW w:type="dxa" w:w="1296"/>
          </w:tcPr>
          <w:p>
            <w:r>
              <w:rPr>
                <w:rFonts w:ascii="Times New Roman" w:hAnsi="Times New Roman"/>
                <w:sz w:val="20"/>
              </w:rPr>
              <w:t>nicht in Anlage 1</w:t>
            </w:r>
          </w:p>
        </w:tc>
        <w:tc>
          <w:tcPr>
            <w:tcW w:type="dxa" w:w="1296"/>
          </w:tcPr>
          <w:p>
            <w:r>
              <w:rPr>
                <w:rFonts w:ascii="Times New Roman" w:hAnsi="Times New Roman"/>
                <w:sz w:val="20"/>
              </w:rPr>
              <w:t>ja</w:t>
            </w:r>
          </w:p>
        </w:tc>
      </w:tr>
    </w:tbl>
    <w:p>
      <w:pPr>
        <w:pStyle w:val="Heading2"/>
      </w:pPr>
      <w:r>
        <w:rPr>
          <w:rFonts w:ascii="Times New Roman" w:hAnsi="Times New Roman"/>
        </w:rPr>
        <w:t>Prüfbedarf</w:t>
      </w:r>
    </w:p>
    <w:p>
      <w:pPr>
        <w:jc w:val="left"/>
      </w:pPr>
      <w:r>
        <w:t>Wird OpenGrid Events UG durch die Leistungen 145 und 146 selbst mit Interessenvertretung betraut?</w:t>
      </w:r>
    </w:p>
    <w:p>
      <w:pPr>
        <w:jc w:val="left"/>
      </w:pPr>
      <w:r>
        <w:rPr>
          <w:b/>
        </w:rPr>
        <w:t>Argumente dafür (Eintragung als Unterauftragnehmer oder eigener Eintrag):</w:t>
      </w:r>
    </w:p>
    <w:p>
      <w:pPr>
        <w:pStyle w:val="ListNumber"/>
      </w:pPr>
      <w:r>
        <w:t>Stakeholder-Mapping enthält Bewertung der Erreichbarkeit, Ansprechbarkeit und Themenaffinität von Abgeordneten und Referatsleitungen. Das ist nicht reine Logistik.</w:t>
      </w:r>
    </w:p>
    <w:p>
      <w:pPr>
        <w:pStyle w:val="ListNumber"/>
      </w:pPr>
      <w:r>
        <w:t>Das Argumentationspapier liefert inhaltliche Formulierungen zur Speicherprivilegierung, die in der ersten Einladungsfassung als Sprache der "deutschen Wasserstoffindustrie" verwendet wurden.</w:t>
      </w:r>
    </w:p>
    <w:p>
      <w:pPr>
        <w:pStyle w:val="ListNumber"/>
      </w:pPr>
      <w:r>
        <w:t>OpenGrid selbst hat in einer E-Mail an die Spreebogen-Mitarbeitern Lea und Nils Formulierungsvorschläge für politische Argumente unterbreitet (Slack-Export vom 22.05.2026).</w:t>
      </w:r>
    </w:p>
    <w:p>
      <w:pPr>
        <w:pStyle w:val="ListNumber"/>
      </w:pPr>
      <w:r>
        <w:t>Eric Tongers war als Berater bei einer Voranfrage an MdB Karin Reimers eingebunden (Telefonnotiz Lea vom 14.05.2026).</w:t>
      </w:r>
    </w:p>
    <w:p>
      <w:pPr>
        <w:jc w:val="left"/>
      </w:pPr>
      <w:r>
        <w:rPr>
          <w:b/>
        </w:rPr>
        <w:t>Argumente dagegen (nur Logistik):</w:t>
      </w:r>
    </w:p>
    <w:p>
      <w:pPr>
        <w:pStyle w:val="ListNumber"/>
      </w:pPr>
      <w:r>
        <w:t>Der Vertrag mit Spreebogen umfasst formal nur Logistik.</w:t>
      </w:r>
    </w:p>
    <w:p>
      <w:pPr>
        <w:pStyle w:val="ListNumber"/>
      </w:pPr>
      <w:r>
        <w:t>Die Mehrleistungen wurden ohne separaten Auftrag erbracht; eine Klarstellung steht aus.</w:t>
      </w:r>
    </w:p>
    <w:p>
      <w:pPr>
        <w:pStyle w:val="ListNumber"/>
      </w:pPr>
      <w:r>
        <w:t>OpenGrid Events UG hat keine eigene PA-Beratung als Geschäftsfeld auf der Website (Stand 22.05.2026).</w:t>
      </w:r>
    </w:p>
    <w:p>
      <w:pPr>
        <w:pStyle w:val="Heading2"/>
      </w:pPr>
      <w:r>
        <w:rPr>
          <w:rFonts w:ascii="Times New Roman" w:hAnsi="Times New Roman"/>
        </w:rPr>
        <w:t>Empfehlung Spreebogen Compliance (Frederik Holst, 23.05.2026)</w:t>
      </w:r>
    </w:p>
    <w:p>
      <w:pPr>
        <w:jc w:val="left"/>
      </w:pPr>
      <w:r>
        <w:t>OpenGrid Events UG ist im Lobbyregister als Unterauftragnehmer von Spreebogen Regulatory GmbH zu erfassen, weil tatsächlich inhaltliche Mitwirkung an Interessenvertretung erfolgt ist. Eine reine Logistikbeschraenkung wäre nur dann tragfähig, wenn Spreebogen die Mehrleistungen ablehnt, zurückweist und vertraglich klarstellt. Faktisch hat Spreebogen die Mehrleistungen bezahlt; damit ist die Trennung nicht haltbar.</w:t>
      </w:r>
    </w:p>
    <w:p>
      <w:pPr>
        <w:pStyle w:val="Heading2"/>
      </w:pPr>
      <w:r>
        <w:rPr>
          <w:rFonts w:ascii="Times New Roman" w:hAnsi="Times New Roman"/>
        </w:rPr>
        <w:t>Korrekturmöglichkeiten</w:t>
      </w:r>
    </w:p>
    <w:p>
      <w:pPr>
        <w:pStyle w:val="ListNumber"/>
      </w:pPr>
      <w:r>
        <w:t>Sofortige Vertragsergänzung: OpenGrid Events UG sagt für das laufende Fachgespräch zu, sich auf Logistik zu beschränken; Stakeholder-Mapping wird zurückgegeben oder von Spreebogen selbst neu erstellt.</w:t>
      </w:r>
    </w:p>
    <w:p>
      <w:pPr>
        <w:pStyle w:val="ListNumber"/>
      </w:pPr>
      <w:r>
        <w:t>Aufnahme als Unterauftragnehmer im Spreebogen-Eintrag (§ 1 Abs. 5 LobbyRG).</w:t>
      </w:r>
    </w:p>
    <w:p>
      <w:pPr>
        <w:pStyle w:val="ListNumber"/>
      </w:pPr>
      <w:r>
        <w:t>Eigeneintragung der OpenGrid Events UG (eher nicht erforderlich, weil die Schwelle der eigenen Interessenvertretung dort vermutlich nicht erreicht wird).</w:t>
      </w:r>
    </w:p>
    <w:p>
      <w:pPr>
        <w:jc w:val="left"/>
      </w:pPr>
      <w:r>
        <w:t>Beschluss Spreebogen Compliance: Variante 1 + 2. Die Mehrleistungen werden als bereits erbracht bezahlt, aber im Register dokumentiert. Eric Tongers wird vertraglich verpflichtet, künftig nur Logistik zu erbringen.</w:t>
      </w:r>
    </w:p>
    <w:p>
      <w:pPr>
        <w:pStyle w:val="Heading2"/>
      </w:pPr>
      <w:r>
        <w:rPr>
          <w:rFonts w:ascii="Times New Roman" w:hAnsi="Times New Roman"/>
        </w:rPr>
        <w:t>Termine</w:t>
      </w:r>
    </w:p>
    <w:p>
      <w:pPr>
        <w:pStyle w:val="ListBullet"/>
      </w:pPr>
      <w:r>
        <w:t>25.05.2026: Vertragsergänzung versendet</w:t>
      </w:r>
    </w:p>
    <w:p>
      <w:pPr>
        <w:pStyle w:val="ListBullet"/>
      </w:pPr>
      <w:r>
        <w:t>28.05.2026: Eintrag im Register aktualisiert</w:t>
      </w:r>
    </w:p>
    <w:p>
      <w:pPr>
        <w:pStyle w:val="ListBullet"/>
      </w:pPr>
      <w:r>
        <w:t>12.06.2026: Fachgespräch findet statt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Unterauftrag OpenGrid Events UG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Unterauftrag OpenGrid Events UG</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