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API-Monitoringplan: Spreebogen Regulatory GmbH / Wasserstoffmandate</w:t>
      </w:r>
    </w:p>
    <w:p>
      <w:pPr>
        <w:pStyle w:val="Heading2"/>
      </w:pPr>
      <w:r>
        <w:rPr>
          <w:rFonts w:ascii="Times New Roman" w:hAnsi="Times New Roman"/>
        </w:rPr>
        <w:t>Anlass</w:t>
      </w:r>
    </w:p>
    <w:p>
      <w:pPr>
        <w:jc w:val="left"/>
      </w:pPr>
      <w:r>
        <w:t>Nach Korrektur des zu breiten Auftraggebertextes soll die Agentur monatlich prüfen, ob der öffentliche Registereintrag die Mandate HansaH2 Storage AG und Nordsee Elektrolyse Konsortium GbR sauber trennt und ob die grundlegenden Stellungnahmen nach Quartalsupload sichtbar sind.</w:t>
      </w:r>
    </w:p>
    <w:p>
      <w:pPr>
        <w:jc w:val="left"/>
      </w:pPr>
      <w:r>
        <w:t>Verantwortlich intern: Malte Kruschke, Compliance Operations</w:t>
      </w:r>
    </w:p>
    <w:p>
      <w:pPr>
        <w:jc w:val="left"/>
      </w:pPr>
      <w:r>
        <w:t>Verantwortlich Kanzlei: RA Dr. Theodor Albrecht</w:t>
      </w:r>
    </w:p>
    <w:p>
      <w:pPr>
        <w:jc w:val="left"/>
      </w:pPr>
      <w:r>
        <w:t>Registernummer Agentur: R008442</w:t>
      </w:r>
    </w:p>
    <w:p>
      <w:pPr>
        <w:jc w:val="left"/>
      </w:pPr>
      <w:r>
        <w:t>Monitoring-Start: 05.07.2026</w:t>
      </w:r>
    </w:p>
    <w:p>
      <w:pPr>
        <w:jc w:val="left"/>
      </w:pPr>
      <w:r>
        <w:t>Takt: monatlich und zusätzlich nach jedem Quartalsupload</w:t>
      </w:r>
    </w:p>
    <w:p>
      <w:pPr>
        <w:pStyle w:val="Heading2"/>
      </w:pPr>
      <w:r>
        <w:rPr>
          <w:rFonts w:ascii="Times New Roman" w:hAnsi="Times New Roman"/>
        </w:rPr>
        <w:t>Suchprofil</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Suchlauf</w:t>
            </w:r>
          </w:p>
        </w:tc>
        <w:tc>
          <w:tcPr>
            <w:tcW w:type="dxa" w:w="2268"/>
          </w:tcPr>
          <w:p>
            <w:r>
              <w:rPr>
                <w:rFonts w:ascii="Times New Roman" w:hAnsi="Times New Roman"/>
                <w:b/>
                <w:sz w:val="20"/>
              </w:rPr>
              <w:t>Suchbegriff</w:t>
            </w:r>
          </w:p>
        </w:tc>
        <w:tc>
          <w:tcPr>
            <w:tcW w:type="dxa" w:w="2268"/>
          </w:tcPr>
          <w:p>
            <w:r>
              <w:rPr>
                <w:rFonts w:ascii="Times New Roman" w:hAnsi="Times New Roman"/>
                <w:b/>
                <w:sz w:val="20"/>
              </w:rPr>
              <w:t>Zweck</w:t>
            </w:r>
          </w:p>
        </w:tc>
        <w:tc>
          <w:tcPr>
            <w:tcW w:type="dxa" w:w="2268"/>
          </w:tcPr>
          <w:p>
            <w:r>
              <w:rPr>
                <w:rFonts w:ascii="Times New Roman" w:hAnsi="Times New Roman"/>
                <w:b/>
                <w:sz w:val="20"/>
              </w:rPr>
              <w:t>Erwartung</w:t>
            </w:r>
          </w:p>
        </w:tc>
      </w:tr>
      <w:tr>
        <w:tc>
          <w:tcPr>
            <w:tcW w:type="dxa" w:w="2268"/>
          </w:tcPr>
          <w:p>
            <w:r>
              <w:rPr>
                <w:rFonts w:ascii="Times New Roman" w:hAnsi="Times New Roman"/>
                <w:sz w:val="20"/>
              </w:rPr>
              <w:t>Agentur</w:t>
            </w:r>
          </w:p>
        </w:tc>
        <w:tc>
          <w:tcPr>
            <w:tcW w:type="dxa" w:w="2268"/>
          </w:tcPr>
          <w:p>
            <w:r>
              <w:rPr>
                <w:rFonts w:ascii="Times New Roman" w:hAnsi="Times New Roman"/>
                <w:sz w:val="20"/>
              </w:rPr>
              <w:t>Spreebogen Regulatory</w:t>
            </w:r>
          </w:p>
        </w:tc>
        <w:tc>
          <w:tcPr>
            <w:tcW w:type="dxa" w:w="2268"/>
          </w:tcPr>
          <w:p>
            <w:r>
              <w:rPr>
                <w:rFonts w:ascii="Times New Roman" w:hAnsi="Times New Roman"/>
                <w:sz w:val="20"/>
              </w:rPr>
              <w:t>eigener Eintrag und Version prüfen</w:t>
            </w:r>
          </w:p>
        </w:tc>
        <w:tc>
          <w:tcPr>
            <w:tcW w:type="dxa" w:w="2268"/>
          </w:tcPr>
          <w:p>
            <w:r>
              <w:rPr>
                <w:rFonts w:ascii="Times New Roman" w:hAnsi="Times New Roman"/>
                <w:sz w:val="20"/>
              </w:rPr>
              <w:t>R008442</w:t>
            </w:r>
          </w:p>
        </w:tc>
      </w:tr>
      <w:tr>
        <w:tc>
          <w:tcPr>
            <w:tcW w:type="dxa" w:w="2268"/>
          </w:tcPr>
          <w:p>
            <w:r>
              <w:rPr>
                <w:rFonts w:ascii="Times New Roman" w:hAnsi="Times New Roman"/>
                <w:sz w:val="20"/>
              </w:rPr>
              <w:t>Auftraggeber 1</w:t>
            </w:r>
          </w:p>
        </w:tc>
        <w:tc>
          <w:tcPr>
            <w:tcW w:type="dxa" w:w="2268"/>
          </w:tcPr>
          <w:p>
            <w:r>
              <w:rPr>
                <w:rFonts w:ascii="Times New Roman" w:hAnsi="Times New Roman"/>
                <w:sz w:val="20"/>
              </w:rPr>
              <w:t>HansaH2 Storage</w:t>
            </w:r>
          </w:p>
        </w:tc>
        <w:tc>
          <w:tcPr>
            <w:tcW w:type="dxa" w:w="2268"/>
          </w:tcPr>
          <w:p>
            <w:r>
              <w:rPr>
                <w:rFonts w:ascii="Times New Roman" w:hAnsi="Times New Roman"/>
                <w:sz w:val="20"/>
              </w:rPr>
              <w:t>Auftraggeberbezug im Agentureintrag und möglicher eigener Eintrag</w:t>
            </w:r>
          </w:p>
        </w:tc>
        <w:tc>
          <w:tcPr>
            <w:tcW w:type="dxa" w:w="2268"/>
          </w:tcPr>
          <w:p>
            <w:r>
              <w:rPr>
                <w:rFonts w:ascii="Times New Roman" w:hAnsi="Times New Roman"/>
                <w:sz w:val="20"/>
              </w:rPr>
              <w:t>Agentur und HansaH2-Eintrag</w:t>
            </w:r>
          </w:p>
        </w:tc>
      </w:tr>
      <w:tr>
        <w:tc>
          <w:tcPr>
            <w:tcW w:type="dxa" w:w="2268"/>
          </w:tcPr>
          <w:p>
            <w:r>
              <w:rPr>
                <w:rFonts w:ascii="Times New Roman" w:hAnsi="Times New Roman"/>
                <w:sz w:val="20"/>
              </w:rPr>
              <w:t>Auftraggeber 2</w:t>
            </w:r>
          </w:p>
        </w:tc>
        <w:tc>
          <w:tcPr>
            <w:tcW w:type="dxa" w:w="2268"/>
          </w:tcPr>
          <w:p>
            <w:r>
              <w:rPr>
                <w:rFonts w:ascii="Times New Roman" w:hAnsi="Times New Roman"/>
                <w:sz w:val="20"/>
              </w:rPr>
              <w:t>Nordsee Elektrolyse Konsortium</w:t>
            </w:r>
          </w:p>
        </w:tc>
        <w:tc>
          <w:tcPr>
            <w:tcW w:type="dxa" w:w="2268"/>
          </w:tcPr>
          <w:p>
            <w:r>
              <w:rPr>
                <w:rFonts w:ascii="Times New Roman" w:hAnsi="Times New Roman"/>
                <w:sz w:val="20"/>
              </w:rPr>
              <w:t>Konsortium richtig abgegrenzt</w:t>
            </w:r>
          </w:p>
        </w:tc>
        <w:tc>
          <w:tcPr>
            <w:tcW w:type="dxa" w:w="2268"/>
          </w:tcPr>
          <w:p>
            <w:r>
              <w:rPr>
                <w:rFonts w:ascii="Times New Roman" w:hAnsi="Times New Roman"/>
                <w:sz w:val="20"/>
              </w:rPr>
              <w:t>Agenturtreffer und ggf. Konsortium</w:t>
            </w:r>
          </w:p>
        </w:tc>
      </w:tr>
      <w:tr>
        <w:tc>
          <w:tcPr>
            <w:tcW w:type="dxa" w:w="2268"/>
          </w:tcPr>
          <w:p>
            <w:r>
              <w:rPr>
                <w:rFonts w:ascii="Times New Roman" w:hAnsi="Times New Roman"/>
                <w:sz w:val="20"/>
              </w:rPr>
              <w:t>Unterauftrag</w:t>
            </w:r>
          </w:p>
        </w:tc>
        <w:tc>
          <w:tcPr>
            <w:tcW w:type="dxa" w:w="2268"/>
          </w:tcPr>
          <w:p>
            <w:r>
              <w:rPr>
                <w:rFonts w:ascii="Times New Roman" w:hAnsi="Times New Roman"/>
                <w:sz w:val="20"/>
              </w:rPr>
              <w:t>OpenGrid Events</w:t>
            </w:r>
          </w:p>
        </w:tc>
        <w:tc>
          <w:tcPr>
            <w:tcW w:type="dxa" w:w="2268"/>
          </w:tcPr>
          <w:p>
            <w:r>
              <w:rPr>
                <w:rFonts w:ascii="Times New Roman" w:hAnsi="Times New Roman"/>
                <w:sz w:val="20"/>
              </w:rPr>
              <w:t>Unterauftrag sichtbar oder intern nachweisbar</w:t>
            </w:r>
          </w:p>
        </w:tc>
        <w:tc>
          <w:tcPr>
            <w:tcW w:type="dxa" w:w="2268"/>
          </w:tcPr>
          <w:p>
            <w:r>
              <w:rPr>
                <w:rFonts w:ascii="Times New Roman" w:hAnsi="Times New Roman"/>
                <w:sz w:val="20"/>
              </w:rPr>
              <w:t>kein eigener Auftraggeberfehler</w:t>
            </w:r>
          </w:p>
        </w:tc>
      </w:tr>
      <w:tr>
        <w:tc>
          <w:tcPr>
            <w:tcW w:type="dxa" w:w="2268"/>
          </w:tcPr>
          <w:p>
            <w:r>
              <w:rPr>
                <w:rFonts w:ascii="Times New Roman" w:hAnsi="Times New Roman"/>
                <w:sz w:val="20"/>
              </w:rPr>
              <w:t>Vorhaben</w:t>
            </w:r>
          </w:p>
        </w:tc>
        <w:tc>
          <w:tcPr>
            <w:tcW w:type="dxa" w:w="2268"/>
          </w:tcPr>
          <w:p>
            <w:r>
              <w:rPr>
                <w:rFonts w:ascii="Times New Roman" w:hAnsi="Times New Roman"/>
                <w:sz w:val="20"/>
              </w:rPr>
              <w:t>Wasserstoffbeschleunigungsgesetz</w:t>
            </w:r>
          </w:p>
        </w:tc>
        <w:tc>
          <w:tcPr>
            <w:tcW w:type="dxa" w:w="2268"/>
          </w:tcPr>
          <w:p>
            <w:r>
              <w:rPr>
                <w:rFonts w:ascii="Times New Roman" w:hAnsi="Times New Roman"/>
                <w:sz w:val="20"/>
              </w:rPr>
              <w:t>Regelungsvorhaben auffindbar</w:t>
            </w:r>
          </w:p>
        </w:tc>
        <w:tc>
          <w:tcPr>
            <w:tcW w:type="dxa" w:w="2268"/>
          </w:tcPr>
          <w:p>
            <w:r>
              <w:rPr>
                <w:rFonts w:ascii="Times New Roman" w:hAnsi="Times New Roman"/>
                <w:sz w:val="20"/>
              </w:rPr>
              <w:t>Agentur und themennahe Einträge</w:t>
            </w:r>
          </w:p>
        </w:tc>
      </w:tr>
    </w:tbl>
    <w:p>
      <w:pPr>
        <w:pStyle w:val="Heading2"/>
      </w:pPr>
      <w:r>
        <w:rPr>
          <w:rFonts w:ascii="Times New Roman" w:hAnsi="Times New Roman"/>
        </w:rPr>
        <w:t>Abfragebefehle</w:t>
      </w:r>
    </w:p>
    <w:p>
      <w:pPr>
        <w:jc w:val="left"/>
      </w:pPr>
      <w:r>
        <w:t>```bash</w:t>
      </w:r>
    </w:p>
    <w:p>
      <w:pPr>
        <w:jc w:val="left"/>
      </w:pPr>
      <w:r>
        <w:t>test -n "${LOBBYREGISTER_API_KEY:?LOBBYREGISTER_API_KEY fehlt}"</w:t>
      </w:r>
    </w:p>
    <w:p>
      <w:pPr>
        <w:jc w:val="left"/>
      </w:pPr>
      <w:r>
        <w:t>curl -H "Authorization: ApiKey ${LOBBYREGISTER_API_KEY}" \</w:t>
      </w:r>
    </w:p>
    <w:p>
      <w:pPr>
        <w:jc w:val="left"/>
      </w:pPr>
      <w:r>
        <w:t>"https://api.lobbyregister.bundestag.de/rest/v2/registerentries/R008442?format=json" \</w:t>
      </w:r>
    </w:p>
    <w:p>
      <w:pPr>
        <w:ind w:left="567"/>
      </w:pPr>
      <w:r>
        <w:rPr>
          <w:i/>
        </w:rPr>
        <w:t>2026-07-05_api_registerentry_R008442.json</w:t>
      </w:r>
    </w:p>
    <w:p>
      <w:pPr>
        <w:jc w:val="left"/>
      </w:pPr>
      <w:r>
        <w:t>curl -H "Authorization: ApiKey ${LOBBYREGISTER_API_KEY}" \</w:t>
      </w:r>
    </w:p>
    <w:p>
      <w:pPr>
        <w:jc w:val="left"/>
      </w:pPr>
      <w:r>
        <w:t>"https://api.lobbyregister.bundestag.de/rest/v2/registerentries?q=HansaH2%20Storage&amp;format=json" \</w:t>
      </w:r>
    </w:p>
    <w:p>
      <w:pPr>
        <w:ind w:left="567"/>
      </w:pPr>
      <w:r>
        <w:rPr>
          <w:i/>
        </w:rPr>
        <w:t>2026-07-05_api_search_hansah2_storage.json</w:t>
      </w:r>
    </w:p>
    <w:p>
      <w:pPr>
        <w:jc w:val="left"/>
      </w:pPr>
      <w:r>
        <w:t>curl -H "Authorization: ApiKey ${LOBBYREGISTER_API_KEY}" \</w:t>
      </w:r>
    </w:p>
    <w:p>
      <w:pPr>
        <w:jc w:val="left"/>
      </w:pPr>
      <w:r>
        <w:t>"https://api.lobbyregister.bundestag.de/rest/v2/registerentries?q=Wasserstoffbeschleunigungsgesetz&amp;format=json" \</w:t>
      </w:r>
    </w:p>
    <w:p>
      <w:pPr>
        <w:ind w:left="567"/>
      </w:pPr>
      <w:r>
        <w:rPr>
          <w:i/>
        </w:rPr>
        <w:t>2026-07-05_api_search_wasserstoffbeschleunigungsgesetz.json</w:t>
      </w:r>
    </w:p>
    <w:p>
      <w:pPr>
        <w:jc w:val="left"/>
      </w:pPr>
      <w:r>
        <w:t>```</w:t>
      </w:r>
    </w:p>
    <w:p>
      <w:pPr>
        <w:pStyle w:val="Heading2"/>
      </w:pPr>
      <w:r>
        <w:rPr>
          <w:rFonts w:ascii="Times New Roman" w:hAnsi="Times New Roman"/>
        </w:rPr>
        <w:t>Alarmregeln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Auslöser</w:t>
            </w:r>
          </w:p>
        </w:tc>
        <w:tc>
          <w:tcPr>
            <w:tcW w:type="dxa" w:w="3024"/>
          </w:tcPr>
          <w:p>
            <w:r>
              <w:rPr>
                <w:rFonts w:ascii="Times New Roman" w:hAnsi="Times New Roman"/>
                <w:b/>
                <w:sz w:val="20"/>
              </w:rPr>
              <w:t>Bewertung</w:t>
            </w:r>
          </w:p>
        </w:tc>
        <w:tc>
          <w:tcPr>
            <w:tcW w:type="dxa" w:w="3024"/>
          </w:tcPr>
          <w:p>
            <w:r>
              <w:rPr>
                <w:rFonts w:ascii="Times New Roman" w:hAnsi="Times New Roman"/>
                <w:b/>
                <w:sz w:val="20"/>
              </w:rPr>
              <w:t>Sofortaktion</w:t>
            </w:r>
          </w:p>
        </w:tc>
      </w:tr>
      <w:tr>
        <w:tc>
          <w:tcPr>
            <w:tcW w:type="dxa" w:w="3024"/>
          </w:tcPr>
          <w:p>
            <w:r>
              <w:rPr>
                <w:rFonts w:ascii="Times New Roman" w:hAnsi="Times New Roman"/>
                <w:sz w:val="20"/>
              </w:rPr>
              <w:t>Auftraggebertext wieder "deutsche Wasserstoffwirtschaft"</w:t>
            </w:r>
          </w:p>
        </w:tc>
        <w:tc>
          <w:tcPr>
            <w:tcW w:type="dxa" w:w="3024"/>
          </w:tcPr>
          <w:p>
            <w:r>
              <w:rPr>
                <w:rFonts w:ascii="Times New Roman" w:hAnsi="Times New Roman"/>
                <w:sz w:val="20"/>
              </w:rPr>
              <w:t>Rot</w:t>
            </w:r>
          </w:p>
        </w:tc>
        <w:tc>
          <w:tcPr>
            <w:tcW w:type="dxa" w:w="3024"/>
          </w:tcPr>
          <w:p>
            <w:r>
              <w:rPr>
                <w:rFonts w:ascii="Times New Roman" w:hAnsi="Times New Roman"/>
                <w:sz w:val="20"/>
              </w:rPr>
              <w:t>Portaltext korrigieren, Mandantenfreigabe einholen</w:t>
            </w:r>
          </w:p>
        </w:tc>
      </w:tr>
      <w:tr>
        <w:tc>
          <w:tcPr>
            <w:tcW w:type="dxa" w:w="3024"/>
          </w:tcPr>
          <w:p>
            <w:r>
              <w:rPr>
                <w:rFonts w:ascii="Times New Roman" w:hAnsi="Times New Roman"/>
                <w:sz w:val="20"/>
              </w:rPr>
              <w:t>HansaH2 und Konsortium in einem Sammelauftrag vermengt</w:t>
            </w:r>
          </w:p>
        </w:tc>
        <w:tc>
          <w:tcPr>
            <w:tcW w:type="dxa" w:w="3024"/>
          </w:tcPr>
          <w:p>
            <w:r>
              <w:rPr>
                <w:rFonts w:ascii="Times New Roman" w:hAnsi="Times New Roman"/>
                <w:sz w:val="20"/>
              </w:rPr>
              <w:t>Orange</w:t>
            </w:r>
          </w:p>
        </w:tc>
        <w:tc>
          <w:tcPr>
            <w:tcW w:type="dxa" w:w="3024"/>
          </w:tcPr>
          <w:p>
            <w:r>
              <w:rPr>
                <w:rFonts w:ascii="Times New Roman" w:hAnsi="Times New Roman"/>
                <w:sz w:val="20"/>
              </w:rPr>
              <w:t>Auftraggebermatrix neu prüfen</w:t>
            </w:r>
          </w:p>
        </w:tc>
      </w:tr>
      <w:tr>
        <w:tc>
          <w:tcPr>
            <w:tcW w:type="dxa" w:w="3024"/>
          </w:tcPr>
          <w:p>
            <w:r>
              <w:rPr>
                <w:rFonts w:ascii="Times New Roman" w:hAnsi="Times New Roman"/>
                <w:sz w:val="20"/>
              </w:rPr>
              <w:t>OpenGrid als reiner Logistiker dargestellt</w:t>
            </w:r>
          </w:p>
        </w:tc>
        <w:tc>
          <w:tcPr>
            <w:tcW w:type="dxa" w:w="3024"/>
          </w:tcPr>
          <w:p>
            <w:r>
              <w:rPr>
                <w:rFonts w:ascii="Times New Roman" w:hAnsi="Times New Roman"/>
                <w:sz w:val="20"/>
              </w:rPr>
              <w:t>Orange</w:t>
            </w:r>
          </w:p>
        </w:tc>
        <w:tc>
          <w:tcPr>
            <w:tcW w:type="dxa" w:w="3024"/>
          </w:tcPr>
          <w:p>
            <w:r>
              <w:rPr>
                <w:rFonts w:ascii="Times New Roman" w:hAnsi="Times New Roman"/>
                <w:sz w:val="20"/>
              </w:rPr>
              <w:t>Unterauftragnehmerrolle im Register und Vertragsakte prüfen</w:t>
            </w:r>
          </w:p>
        </w:tc>
      </w:tr>
      <w:tr>
        <w:tc>
          <w:tcPr>
            <w:tcW w:type="dxa" w:w="3024"/>
          </w:tcPr>
          <w:p>
            <w:r>
              <w:rPr>
                <w:rFonts w:ascii="Times New Roman" w:hAnsi="Times New Roman"/>
                <w:sz w:val="20"/>
              </w:rPr>
              <w:t>Stellungnahme vom 28.05.2026 fehlt nach Quartalsupload</w:t>
            </w:r>
          </w:p>
        </w:tc>
        <w:tc>
          <w:tcPr>
            <w:tcW w:type="dxa" w:w="3024"/>
          </w:tcPr>
          <w:p>
            <w:r>
              <w:rPr>
                <w:rFonts w:ascii="Times New Roman" w:hAnsi="Times New Roman"/>
                <w:sz w:val="20"/>
              </w:rPr>
              <w:t>Rot</w:t>
            </w:r>
          </w:p>
        </w:tc>
        <w:tc>
          <w:tcPr>
            <w:tcW w:type="dxa" w:w="3024"/>
          </w:tcPr>
          <w:p>
            <w:r>
              <w:rPr>
                <w:rFonts w:ascii="Times New Roman" w:hAnsi="Times New Roman"/>
                <w:sz w:val="20"/>
              </w:rPr>
              <w:t>Upload-Log und Portalbestaetigung prüfen</w:t>
            </w:r>
          </w:p>
        </w:tc>
      </w:tr>
      <w:tr>
        <w:tc>
          <w:tcPr>
            <w:tcW w:type="dxa" w:w="3024"/>
          </w:tcPr>
          <w:p>
            <w:r>
              <w:rPr>
                <w:rFonts w:ascii="Times New Roman" w:hAnsi="Times New Roman"/>
                <w:sz w:val="20"/>
              </w:rPr>
              <w:t>Version geändert ohne internes Ticket</w:t>
            </w:r>
          </w:p>
        </w:tc>
        <w:tc>
          <w:tcPr>
            <w:tcW w:type="dxa" w:w="3024"/>
          </w:tcPr>
          <w:p>
            <w:r>
              <w:rPr>
                <w:rFonts w:ascii="Times New Roman" w:hAnsi="Times New Roman"/>
                <w:sz w:val="20"/>
              </w:rPr>
              <w:t>Rot</w:t>
            </w:r>
          </w:p>
        </w:tc>
        <w:tc>
          <w:tcPr>
            <w:tcW w:type="dxa" w:w="3024"/>
          </w:tcPr>
          <w:p>
            <w:r>
              <w:rPr>
                <w:rFonts w:ascii="Times New Roman" w:hAnsi="Times New Roman"/>
                <w:sz w:val="20"/>
              </w:rPr>
              <w:t>Revisionsspur öffnen</w:t>
            </w:r>
          </w:p>
        </w:tc>
      </w:tr>
      <w:tr>
        <w:tc>
          <w:tcPr>
            <w:tcW w:type="dxa" w:w="3024"/>
          </w:tcPr>
          <w:p>
            <w:r>
              <w:rPr>
                <w:rFonts w:ascii="Times New Roman" w:hAnsi="Times New Roman"/>
                <w:sz w:val="20"/>
              </w:rPr>
              <w:t>refusedAnything</w:t>
            </w:r>
            <w:r>
              <w:rPr>
                <w:rFonts w:ascii="Times New Roman" w:hAnsi="Times New Roman"/>
                <w:sz w:val="20"/>
              </w:rPr>
              <w:t xml:space="preserve"> true</w:t>
            </w:r>
          </w:p>
        </w:tc>
        <w:tc>
          <w:tcPr>
            <w:tcW w:type="dxa" w:w="3024"/>
          </w:tcPr>
          <w:p>
            <w:r>
              <w:rPr>
                <w:rFonts w:ascii="Times New Roman" w:hAnsi="Times New Roman"/>
                <w:sz w:val="20"/>
              </w:rPr>
              <w:t>Rot</w:t>
            </w:r>
          </w:p>
        </w:tc>
        <w:tc>
          <w:tcPr>
            <w:tcW w:type="dxa" w:w="3024"/>
          </w:tcPr>
          <w:p>
            <w:r>
              <w:rPr>
                <w:rFonts w:ascii="Times New Roman" w:hAnsi="Times New Roman"/>
                <w:sz w:val="20"/>
              </w:rPr>
              <w:t>Geschäftsführung und Kanzlei informieren</w:t>
            </w:r>
          </w:p>
        </w:tc>
      </w:tr>
    </w:tbl>
    <w:p>
      <w:pPr>
        <w:pStyle w:val="Heading2"/>
      </w:pPr>
      <w:r>
        <w:rPr>
          <w:rFonts w:ascii="Times New Roman" w:hAnsi="Times New Roman"/>
        </w:rPr>
        <w:t>Monitoringvermerk 05.07.2026</w:t>
      </w:r>
    </w:p>
    <w:p>
      <w:pPr>
        <w:jc w:val="left"/>
      </w:pPr>
      <w:r>
        <w:t>Die Suche nach HansaH2 Storage ergibt zwei relevante Treffer: den eigenen Auftraggeber und den Agentureintrag R008442. Der Agentureintrag nennt das konkrete Wasserstoffbeschleunigungsgesetz und grenzt HansaH2 von Nordsee Elektrolyse ab. Die alte Formulierung "deutsche Wasserstoffwirtschaft" ist nicht mehr sichtbar.</w:t>
      </w:r>
    </w:p>
    <w:p>
      <w:pPr>
        <w:jc w:val="left"/>
      </w:pPr>
      <w:r>
        <w:t xml:space="preserve">Offen bleibt, ob die Rolle von OpenGrid Events UG als inhaltlicher Unterauftragnehmer deutlich genug ist. Das nächste Update-Ticket soll nicht nur die Rechnungen, sondern auch das Stakeholder-Mapping aus Datei </w:t>
      </w:r>
      <w:r>
        <w:t>18_stakeholder_mapping_opengrid.csv</w:t>
      </w:r>
      <w:r>
        <w:t xml:space="preserve"> einbeziehen.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Spreebogen Regulatory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Spreebogen Regulatory GmbH</w:t>
    </w:r>
  </w:p>
  <w:p>
    <w:pPr>
      <w:jc w:val="left"/>
      <w:pBdr>
        <w:bottom w:val="single" w:sz="6" w:space="2" w:color="3B3F45"/>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