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Registerexport-Diff: Quartalsupload Q2/2026</w:t>
      </w:r>
    </w:p>
    <w:p>
      <w:pPr>
        <w:pStyle w:val="Heading2"/>
      </w:pPr>
      <w:r>
        <w:rPr>
          <w:rFonts w:ascii="Times New Roman" w:hAnsi="Times New Roman"/>
        </w:rPr>
        <w:t>Abgleich</w:t>
      </w:r>
    </w:p>
    <w:p>
      <w:pPr>
        <w:pStyle w:val="ListBullet"/>
      </w:pPr>
      <w:r>
        <w:t>Registereintrag: Spreebogen Regulatory GmbH, R008442</w:t>
      </w:r>
    </w:p>
    <w:p>
      <w:pPr>
        <w:pStyle w:val="ListBullet"/>
      </w:pPr>
      <w:r>
        <w:t>Portalaktion: Korrektur Auftraggebertext und Upload zweier grundlegender Dokumente für Q2/2026</w:t>
      </w:r>
    </w:p>
    <w:p>
      <w:pPr>
        <w:pStyle w:val="ListBullet"/>
      </w:pPr>
      <w:r>
        <w:t>API-Abruf: 05.07.2026, 10:34 Uhr</w:t>
      </w:r>
    </w:p>
    <w:p>
      <w:pPr>
        <w:pStyle w:val="ListBullet"/>
      </w:pPr>
      <w:r>
        <w:t>sourceDate</w:t>
      </w:r>
      <w:r>
        <w:t>: 2026-07-05T10:34:48.553+02:00</w:t>
      </w:r>
    </w:p>
    <w:p>
      <w:pPr>
        <w:pStyle w:val="ListBullet"/>
      </w:pPr>
      <w:r>
        <w:t>Version: 4</w:t>
      </w:r>
    </w:p>
    <w:p>
      <w:pPr>
        <w:pStyle w:val="ListBullet"/>
      </w:pPr>
      <w:r>
        <w:t>Interne Tickets: SPR-H2-2026-Q2-UPL, SPR-H2-2026-AGT-KORR</w:t>
      </w:r>
    </w:p>
    <w:p>
      <w:pPr>
        <w:pStyle w:val="Heading2"/>
      </w:pPr>
      <w:r>
        <w:rPr>
          <w:rFonts w:ascii="Times New Roman" w:hAnsi="Times New Roman"/>
        </w:rPr>
        <w:t>Kurzbefund</w:t>
      </w:r>
    </w:p>
    <w:p>
      <w:pPr>
        <w:jc w:val="left"/>
      </w:pPr>
      <w:r>
        <w:t xml:space="preserve">Die API-Antwort zeigt die neue, engere Tätigkeitsbeschreibung. HansaH2 Storage AG und Nordsee Elektrolyse Konsortium GbR sind getrennt abgebildet. Die beiden grundlegenden Dokumente erscheinen als </w:t>
      </w:r>
      <w:r>
        <w:t>statements</w:t>
      </w:r>
      <w:r>
        <w:t>. Der frühere Fehler "deutsche Wasserstoffwirtschaft" ist im öffentlichen Datensatz nicht mehr sichtbar.</w:t>
      </w:r>
    </w:p>
    <w:p>
      <w:pPr>
        <w:jc w:val="left"/>
      </w:pPr>
      <w:r>
        <w:t>Rot bleibt die Dokumentationsfrage OpenGrid Events UG: Die API-Antwort nennt OpenGrid als Unterauftragnehmer mit Stakeholder-Mapping. Das ist inhaltlich richtig, muss aber mit Rechnung, Vertrag und interner Freigabe zusammenpassen.</w:t>
      </w:r>
    </w:p>
    <w:p>
      <w:pPr>
        <w:pStyle w:val="Heading2"/>
      </w:pPr>
      <w:r>
        <w:rPr>
          <w:rFonts w:ascii="Times New Roman" w:hAnsi="Times New Roman"/>
        </w:rPr>
        <w:t>Feldvergleich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Interne Freigabe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API/API-Export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Aktion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Tätigkeitsbeschreibung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einzelne Unternehmen und Konsortien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gleichlautend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Auftraggeber HansaH2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Speicher- und Kavernenfragen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eigener Client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Vertrag beilegen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Auftraggeber Konsortium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Elektrolyse und Netzanbindung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eigener Client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GbR-Freigabe nachheften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Unterauftrag OpenGrid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Stakeholder-Mapping und Eventvorbereitung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als Contractor genannt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Unterauftragnehmer-Check neu freigeben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Stellungnahme HansaH2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versandt 28.05.2026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veröffentlicht 03.07.2026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PDF sichern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Kurzgutachten Konsortium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versandt 03.06.2026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veröffentlicht 03.07.2026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PDF sichern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erwartete Version 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Version 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Fristenbuch aktualisieren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verweigerte Angaben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refusedAnything</w:t>
            </w:r>
            <w:r>
              <w:rPr>
                <w:rFonts w:ascii="Times New Roman" w:hAnsi="Times New Roman"/>
                <w:sz w:val="20"/>
              </w:rPr>
              <w:t xml:space="preserve"> false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Kodexverstoesse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accountHasCodexViolations</w:t>
            </w:r>
            <w:r>
              <w:rPr>
                <w:rFonts w:ascii="Times New Roman" w:hAnsi="Times New Roman"/>
                <w:sz w:val="20"/>
              </w:rPr>
              <w:t xml:space="preserve"> false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Schlechte Arbeitsnotiz aus dem Datenraum</w:t>
      </w:r>
    </w:p>
    <w:p>
      <w:pPr>
        <w:jc w:val="left"/>
      </w:pPr>
      <w:r>
        <w:t>Malte hatte am 04.07.2026 in Slack geschrieben: "Passt doch, API findet HansaH2, wir müssen OpenGrid nicht extra anfassen." Das ist zu knapp. Gerade weil OpenGrid im API-Datensatz auftaucht, muss die Abgrenzung zwischen Logistik, Stakeholder-Mapping und inhaltlicher Interessenvertretung aktenfest sein.</w:t>
      </w:r>
    </w:p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Number"/>
      </w:pPr>
      <w:r>
        <w:t xml:space="preserve">Datei </w:t>
      </w:r>
      <w:r>
        <w:t>17_invoice_opengrid.csv</w:t>
      </w:r>
      <w:r>
        <w:t xml:space="preserve"> gegen </w:t>
      </w:r>
      <w:r>
        <w:t>18_stakeholder_mapping_opengrid.csv</w:t>
      </w:r>
      <w:r>
        <w:t xml:space="preserve"> prüfen.</w:t>
      </w:r>
    </w:p>
    <w:p>
      <w:pPr>
        <w:pStyle w:val="ListNumber"/>
      </w:pPr>
      <w:r>
        <w:t>Mandantenfreigabe HansaH2 und Konsortium für die OpenGrid-Darstellung einholen.</w:t>
      </w:r>
    </w:p>
    <w:p>
      <w:pPr>
        <w:pStyle w:val="ListNumber"/>
      </w:pPr>
      <w:r>
        <w:t>Quartalskalender um Nachcheck 05.10.2026 ergänzen.</w:t>
      </w:r>
    </w:p>
    <w:p>
      <w:pPr>
        <w:pStyle w:val="ListNumber"/>
      </w:pPr>
      <w:r>
        <w:t>API-Rohantwort und PDF-Version in der Revisionsspur ablegen.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Spreebogen Regulatory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Spreebogen Regulatory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R008442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