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Mandatsvertrag Nordsee Elektrolyse Konsortium GbR – Auszug</w:t>
      </w:r>
    </w:p>
    <w:p>
      <w:pPr>
        <w:jc w:val="left"/>
      </w:pPr>
      <w:r>
        <w:rPr>
          <w:b/>
        </w:rPr>
        <w:t>Vertragsparteien:</w:t>
      </w:r>
    </w:p>
    <w:p>
      <w:pPr>
        <w:pStyle w:val="ListBullet"/>
      </w:pPr>
      <w:r>
        <w:rPr>
          <w:b/>
        </w:rPr>
        <w:t>Auftraggeberin:</w:t>
      </w:r>
      <w:r>
        <w:t xml:space="preserve"> Nordsee Elektrolyse Konsortium GbR, Brueckenstr. 4, 27568 Bremerhaven, vertreten durch</w:t>
      </w:r>
    </w:p>
    <w:p>
      <w:pPr>
        <w:pStyle w:val="ListBullet"/>
      </w:pPr>
      <w:r>
        <w:t>SoltauStrom AG (40%, Vertretung Dr. Friederike Soltau, CEO)</w:t>
      </w:r>
    </w:p>
    <w:p>
      <w:pPr>
        <w:pStyle w:val="ListBullet"/>
      </w:pPr>
      <w:r>
        <w:t>KuestenH2 GmbH (35%, Vertretung Reza Mahmoudi, Geschäftsführer)</w:t>
      </w:r>
    </w:p>
    <w:p>
      <w:pPr>
        <w:pStyle w:val="ListBullet"/>
      </w:pPr>
      <w:r>
        <w:t>AmrumEnergy KG (25%, Vertretung Karin Boening, Komplementaerin)</w:t>
      </w:r>
    </w:p>
    <w:p>
      <w:pPr>
        <w:pStyle w:val="ListBullet"/>
      </w:pPr>
      <w:r>
        <w:rPr>
          <w:b/>
        </w:rPr>
        <w:t>Auftragnehmerin:</w:t>
      </w:r>
      <w:r>
        <w:t xml:space="preserve"> Spreebogen Regulatory GmbH, Reinhardtstr. 47, 10117 Berlin</w:t>
      </w:r>
    </w:p>
    <w:p>
      <w:pPr>
        <w:jc w:val="left"/>
      </w:pPr>
      <w:r>
        <w:rPr>
          <w:b/>
        </w:rPr>
        <w:t>Vertragsbeginn:</w:t>
      </w:r>
      <w:r>
        <w:t xml:space="preserve"> 15.03.2026</w:t>
      </w:r>
    </w:p>
    <w:p>
      <w:pPr>
        <w:jc w:val="left"/>
      </w:pPr>
      <w:r>
        <w:rPr>
          <w:b/>
        </w:rPr>
        <w:t>Laufzeit:</w:t>
      </w:r>
      <w:r>
        <w:t xml:space="preserve"> zunächst sechs Monate, sodann jeweils drei Monate Verlängerung; beidseitiges Sonderkündigungsrecht mit zwei Wochen Frist</w:t>
      </w:r>
    </w:p>
    <w:p>
      <w:pPr>
        <w:jc w:val="left"/>
      </w:pPr>
      <w:r>
        <w:rPr>
          <w:b/>
        </w:rPr>
        <w:t>Honorar:</w:t>
      </w:r>
      <w:r>
        <w:t xml:space="preserve"> 12.500 EUR netto monatlich plus Reisekosten</w:t>
      </w:r>
    </w:p>
    <w:p>
      <w:pPr>
        <w:jc w:val="left"/>
      </w:pPr>
      <w:r>
        <w:rPr>
          <w:b/>
        </w:rPr>
        <w:t>Aktenzeichen:</w:t>
      </w:r>
      <w:r>
        <w:t xml:space="preserve"> NEK-2026-PA-Spreebogen</w:t>
      </w:r>
    </w:p>
    <w:p>
      <w:pPr>
        <w:pStyle w:val="Heading2"/>
      </w:pPr>
      <w:r>
        <w:rPr>
          <w:rFonts w:ascii="Times New Roman" w:hAnsi="Times New Roman"/>
        </w:rPr>
        <w:t>§ 1 Gegenstand</w:t>
      </w:r>
    </w:p>
    <w:p>
      <w:pPr>
        <w:ind w:left="567"/>
      </w:pPr>
      <w:r>
        <w:rPr>
          <w:i/>
        </w:rPr>
        <w:t>"Die Auftragnehmerin übernimmt für das Nordsee Elektrolyse Konsortium GbR die strategische und operative Begleitung des geplanten Wasserstoffbeschleunigungsgesetzes (WBG) mit Schwerpunkt auf Netzentgeltprivilegien für Elektrolyseure, Flächenzugang an Offshore-Anbindungspunkten und technologieoffener Förderung. Eine inhaltliche Vermischung mit den Anliegen anderer Mandanten der Auftragnehmerin (insbesondere der HansaH2 Storage AG) ist auszuschliessen."</w:t>
      </w:r>
    </w:p>
    <w:p>
      <w:pPr>
        <w:pStyle w:val="Heading2"/>
      </w:pPr>
      <w:r>
        <w:rPr>
          <w:rFonts w:ascii="Times New Roman" w:hAnsi="Times New Roman"/>
        </w:rPr>
        <w:t>§ 2 Konsortialwillensbildung</w:t>
      </w:r>
    </w:p>
    <w:p>
      <w:pPr>
        <w:ind w:left="567"/>
      </w:pPr>
      <w:r>
        <w:rPr>
          <w:i/>
        </w:rPr>
        <w:t>"Aussenkommunikation, Stellungnahmen, Einträge im Lobbyregister beim Deutschen Bundestag und Veranstaltungseinladungen, die das Konsortium betreffen, bedürfen eines einstimmigen Konsortialbeschlusses. Im Falle der Dringlichkeit kann die Auftragnehmerin auf eine telefonisch eingeholte Stimmensummenfeststellung zurückgreifen, die schriftlich nachzureichen ist."</w:t>
      </w:r>
    </w:p>
    <w:p>
      <w:pPr>
        <w:pStyle w:val="Heading2"/>
      </w:pPr>
      <w:r>
        <w:rPr>
          <w:rFonts w:ascii="Times New Roman" w:hAnsi="Times New Roman"/>
        </w:rPr>
        <w:t>§ 3 Vertretung im Mandat</w:t>
      </w:r>
    </w:p>
    <w:p>
      <w:pPr>
        <w:ind w:left="567"/>
      </w:pPr>
      <w:r>
        <w:rPr>
          <w:i/>
        </w:rPr>
        <w:t>"Vertretungsbefugt für die Auftraggeberin ist Tarek Abadi (managing partner). Tarek Abadi ist gleichzeitig beratend für die Spreebogen Regulatory GmbH tätig. Diese Doppelrolle ist offen und vertraglich gestattet. Bei Konflikten zwischen Konsortialinteressen und Spreebogen-Honorarfragen meldet sich Tarek Abadi schriftlich vom Vorgang ab; die Vertretung übernimmt dann Dr. Friederike Soltau."</w:t>
      </w:r>
    </w:p>
    <w:p>
      <w:pPr>
        <w:pStyle w:val="Heading2"/>
      </w:pPr>
      <w:r>
        <w:rPr>
          <w:rFonts w:ascii="Times New Roman" w:hAnsi="Times New Roman"/>
        </w:rPr>
        <w:t>§ 4 Offenlegung im Lobbyregister</w:t>
      </w:r>
    </w:p>
    <w:p>
      <w:pPr>
        <w:ind w:left="567"/>
      </w:pPr>
      <w:r>
        <w:rPr>
          <w:i/>
        </w:rPr>
        <w:t>"Die Auftragnehmerin legt die Auftraggeberin im Lobbyregister offen. Der Konsortialname 'Nordsee Elektrolyse Konsortium GbR' ist zu verwenden. Eine Erwähnung der einzelnen Konsortialmitglieder im öffentlichen Eintrag erfolgt nur, soweit dies vom Konsortium beschlossen ist. Stand 19.05.2026: keine Einzelnennung der drei Konsortialmitglieder im Eintrag."</w:t>
      </w:r>
    </w:p>
    <w:p>
      <w:pPr>
        <w:pStyle w:val="Heading2"/>
      </w:pPr>
      <w:r>
        <w:rPr>
          <w:rFonts w:ascii="Times New Roman" w:hAnsi="Times New Roman"/>
        </w:rPr>
        <w:t>§ 5 Auftraggebertrennung</w:t>
      </w:r>
    </w:p>
    <w:p>
      <w:pPr>
        <w:ind w:left="567"/>
      </w:pPr>
      <w:r>
        <w:rPr>
          <w:i/>
        </w:rPr>
        <w:t>"Die Auftraggeberin ist sich bewusst, dass die Auftragnehmerin gleichzeitig für die HansaH2 Storage AG zum selben Regelungsvorhaben tätig ist. Die Auftragnehmerin verpflichtet sich:</w:t>
      </w:r>
    </w:p>
    <w:p>
      <w:pPr>
        <w:ind w:left="567"/>
      </w:pPr>
    </w:p>
    <w:p>
      <w:pPr>
        <w:ind w:left="567"/>
      </w:pPr>
      <w:r>
        <w:rPr>
          <w:i/>
        </w:rPr>
        <w:t>(a) keine vertraulichen Informationen zwischen den Mandanten weiterzugeben;</w:t>
      </w:r>
    </w:p>
    <w:p>
      <w:pPr>
        <w:ind w:left="567"/>
      </w:pPr>
      <w:r>
        <w:rPr>
          <w:i/>
        </w:rPr>
        <w:t>(b) Termine, Stellungnahmen und Einträge je Auftraggeber separat zu führen;</w:t>
      </w:r>
    </w:p>
    <w:p>
      <w:pPr>
        <w:ind w:left="567"/>
      </w:pPr>
      <w:r>
        <w:rPr>
          <w:i/>
        </w:rPr>
        <w:t>(c) bei gemeinsamen Terminen vorab schriftlich die Zustimmung beider Auftraggeber einzuholen;</w:t>
      </w:r>
    </w:p>
    <w:p>
      <w:pPr>
        <w:ind w:left="567"/>
      </w:pPr>
      <w:r>
        <w:rPr>
          <w:i/>
        </w:rPr>
        <w:t>(d) bei öffentlichen Auftritten keine Branchenrepräsentation zu behaupten."</w:t>
      </w:r>
    </w:p>
    <w:p>
      <w:pPr>
        <w:pStyle w:val="Heading2"/>
      </w:pPr>
      <w:r>
        <w:rPr>
          <w:rFonts w:ascii="Times New Roman" w:hAnsi="Times New Roman"/>
        </w:rPr>
        <w:t>§ 6 Vertraulichkeit</w:t>
      </w:r>
    </w:p>
    <w:p>
      <w:pPr>
        <w:ind w:left="567"/>
      </w:pPr>
      <w:r>
        <w:rPr>
          <w:i/>
        </w:rPr>
        <w:t>"Vertraulichkeit gilt für alle Informationen über Konsortialmitglieder, Pilotstandorte, Investitionsvolumen, Förderzusagen und Verhandlungsergebnisse mit Behörden. Die Eintragung im Lobbyregister, die Konsortialnennung in öffentlichen Mitteilungen und die Veröffentlichung der Stellungnahmen sind davon ausgenommen."</w:t>
      </w:r>
    </w:p>
    <w:p>
      <w:pPr>
        <w:pStyle w:val="Heading2"/>
      </w:pPr>
      <w:r>
        <w:rPr>
          <w:rFonts w:ascii="Times New Roman" w:hAnsi="Times New Roman"/>
        </w:rPr>
        <w:t>§ 7 Honorar und Fälligkeit</w:t>
      </w:r>
    </w:p>
    <w:p>
      <w:pPr>
        <w:ind w:left="567"/>
      </w:pPr>
      <w:r>
        <w:rPr>
          <w:i/>
        </w:rPr>
        <w:t>"Honorar 12.500 EUR netto monatlich, fällig zum letzten Werktag des Monats. Reisekosten werden gegen Nachweis erstattet. Bei Zahlungsverzug von mehr als 21 Tagen kann die Auftragnehmerin die Leistung einstellen; in diesem Fall ist eine schriftliche Anzeige erforderlich. Stand 22.05.2026: April-Rechnung (R-NEK-2026-04, 12.500 EUR) offen seit 30.04.2026; Mahnstand 1 vom 14.05.2026."</w:t>
      </w:r>
    </w:p>
    <w:p>
      <w:pPr>
        <w:pStyle w:val="Heading2"/>
      </w:pPr>
      <w:r>
        <w:rPr>
          <w:rFonts w:ascii="Times New Roman" w:hAnsi="Times New Roman"/>
        </w:rPr>
        <w:t>§ 8 Kündigung und Beendigungspflichten</w:t>
      </w:r>
    </w:p>
    <w:p>
      <w:pPr>
        <w:ind w:left="567"/>
      </w:pPr>
      <w:r>
        <w:rPr>
          <w:i/>
        </w:rPr>
        <w:t>"Bei Beendigung des Mandats aktualisiert die Auftragnehmerin den Lobbyregistereintrag unverzüglich. Ein Mandat gilt erst dann als beendet, wenn dies vom Konsortium schriftlich erklärt wurde oder wenn die Auftragnehmerin nach § 7 die Leistung einstellt."</w:t>
      </w:r>
    </w:p>
    <w:p>
      <w:pPr>
        <w:pStyle w:val="Heading2"/>
      </w:pPr>
      <w:r>
        <w:rPr>
          <w:rFonts w:ascii="Times New Roman" w:hAnsi="Times New Roman"/>
        </w:rPr>
        <w:t>Konsortialbeschluss vom 19.05.2026 zur Eintragsformulierung</w:t>
      </w:r>
    </w:p>
    <w:p>
      <w:pPr>
        <w:ind w:left="567"/>
      </w:pPr>
      <w:r>
        <w:rPr>
          <w:i/>
        </w:rPr>
        <w:t>"Das Konsortium beschliesst einstimmig, die Spreebogen Regulatory GmbH zur Eintragsformulierung im Lobbyregister wie folgt zu ermächtigen:</w:t>
      </w:r>
    </w:p>
    <w:p>
      <w:pPr>
        <w:ind w:left="567"/>
      </w:pPr>
      <w:r>
        <w:rPr>
          <w:i/>
        </w:rPr>
        <w:t>- Auftraggeberangabe: 'Nordsee Elektrolyse Konsortium GbR'</w:t>
      </w:r>
    </w:p>
    <w:p>
      <w:pPr>
        <w:ind w:left="567"/>
      </w:pPr>
      <w:r>
        <w:rPr>
          <w:i/>
        </w:rPr>
        <w:t>- Anschrift: Brueckenstr. 4, 27568 Bremerhaven</w:t>
      </w:r>
    </w:p>
    <w:p>
      <w:pPr>
        <w:ind w:left="567"/>
      </w:pPr>
      <w:r>
        <w:rPr>
          <w:i/>
        </w:rPr>
        <w:t>- Vertretung: Tarek Abadi (managing partner)</w:t>
      </w:r>
    </w:p>
    <w:p>
      <w:pPr>
        <w:ind w:left="567"/>
      </w:pPr>
      <w:r>
        <w:rPr>
          <w:i/>
        </w:rPr>
        <w:t>- Vorhaben: 'Wasserstoffbeschleunigungsgesetz (WBG)'</w:t>
      </w:r>
    </w:p>
    <w:p>
      <w:pPr>
        <w:ind w:left="567"/>
      </w:pPr>
      <w:r>
        <w:rPr>
          <w:i/>
        </w:rPr>
        <w:t>- Interesse: 'Netzentgeltprivileg für Elektrolyseure mit Volllaststundenrahmen, Flächenzugang an Offshore-Anbindungspunkten, technologieoffene Förderung, Pilotprojekte ohne uneinheitliche Länderpraxis'</w:t>
      </w:r>
    </w:p>
    <w:p>
      <w:pPr>
        <w:ind w:left="567"/>
      </w:pPr>
      <w:r>
        <w:rPr>
          <w:i/>
        </w:rPr>
        <w:t>- Stellungnahmen: 'Stellungnahme Nordsee Elektrolyse zum Netzentgeltprivileg' vom 24.05.2026 als grundlegende Stellungnahme.</w:t>
      </w:r>
    </w:p>
    <w:p>
      <w:pPr>
        <w:ind w:left="567"/>
      </w:pPr>
      <w:r>
        <w:rPr>
          <w:i/>
        </w:rPr>
        <w:t>- Keine Einzelnennung der Konsortialmitglieder."</w:t>
      </w:r>
    </w:p>
    <w:p>
      <w:pPr>
        <w:pStyle w:val="Heading2"/>
      </w:pPr>
      <w:r>
        <w:rPr>
          <w:rFonts w:ascii="Times New Roman" w:hAnsi="Times New Roman"/>
        </w:rPr>
        <w:t>Interne Bewertung Spreebogen Compliance</w:t>
      </w:r>
    </w:p>
    <w:p>
      <w:pPr>
        <w:pStyle w:val="ListBullet"/>
      </w:pPr>
      <w:r>
        <w:t>Doppelrolle Tarek Abadi ist vertraglich abgesichert (§ 3) und intern operativ umgesetzt (Slack-Hinweis Tarek 22.05.2026, 11:20 Uhr).</w:t>
      </w:r>
    </w:p>
    <w:p>
      <w:pPr>
        <w:pStyle w:val="ListBullet"/>
      </w:pPr>
      <w:r>
        <w:t>Honorarrückstand berührt das Mandat nicht; § 7 sieht erst ab 21 Tagen Verzug eine Leistungseinstellung vor, die noch nicht erklärt ist.</w:t>
      </w:r>
    </w:p>
    <w:p>
      <w:pPr>
        <w:pStyle w:val="ListBullet"/>
      </w:pPr>
      <w:r>
        <w:t>Auftraggebertrennung (§ 5) ist klar; die OpenGrid-Branchenanmassung verstoesst gegen diese Klausel und ist im Compliance-Register vermerkt.</w:t>
      </w:r>
    </w:p>
    <w:p>
      <w:pPr>
        <w:pStyle w:val="ListBullet"/>
      </w:pPr>
      <w:r>
        <w:t>Konsortialwillensbildung (§ 2) ist für den Eintragstext und die Stellungnahme ordnungsgemaess eingehalten worden.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SoltauStrom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SoltauStrom AG</w:t>
    </w:r>
  </w:p>
  <w:p>
    <w:pPr>
      <w:jc w:val="left"/>
      <w:pBdr>
        <w:bottom w:val="single" w:sz="6" w:space="2" w:color="3B3F45"/>
      </w:pBdr>
    </w:pPr>
    <w:r>
      <w:rPr>
        <w:rFonts w:ascii="Times New Roman" w:hAnsi="Times New Roman"/>
        <w:color w:val="6B6B66"/>
        <w:sz w:val="16"/>
      </w:rPr>
      <w:t>Vertretung Dr. Friederike Soltau, CEO)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