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Privatgutachten im Auftrag der Staatsanwaltschaft</w:t>
      </w:r>
    </w:p>
    <w:p>
      <w:pPr>
        <w:pStyle w:val="Heading1"/>
      </w:pPr>
      <w:r>
        <w:t>Gutachten zur Bestimmung des Eintritts der Zahlungsunfaehigkeit</w:t>
      </w:r>
    </w:p>
    <w:p>
      <w:r>
        <w:t>Gutachten vom 20.12.2024, erstellt von Prof. Dr. Elisabeth Rahn, Fachanwaeltin fuer Insolvenzrecht, Frankfurt am Main, im Auftrag der Staatsanwaltschaft Frankfurt am Main.</w:t>
      </w:r>
    </w:p>
    <w:p>
      <w:pPr>
        <w:pStyle w:val="Heading2"/>
      </w:pPr>
      <w:r>
        <w:t>Methodik</w:t>
      </w:r>
    </w:p>
    <w:p>
      <w:r>
        <w:t>Rekonstruktion der Liquiditaetslage anhand vorhandener Kontoauszuege, BWA Q4/2023 und Q1/2024 sowie Zeugenaussagen, da eine laufende Buchfuehrung ab Oktober 2023 fehlt.</w:t>
      </w:r>
    </w:p>
    <w:p>
      <w:pPr>
        <w:pStyle w:val="Heading2"/>
      </w:pPr>
      <w:r>
        <w:t>Ergebnis</w:t>
      </w:r>
    </w:p>
    <w:p>
      <w:r>
        <w:t>Die Zahlungsunfaehigkeit im Sinne von § 17 InsO ist spaetestens zum 01.02.2024 eingetreten (Deckungsluecke bereits zu diesem Zeitpunkt deutlich ueber 10 Prozent und nicht nur voruebergehend). Der Eigenantrag erfolgte am 22.05.2024, mithin mehr als drei Monate nach Eintritt der Zahlungsunfaehigkeit und deutlich ausserhalb der Drei-Wochen-Frist des § 15a InsO.</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Privatgutachten im Auftrag der Staatsanwaltschaft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Privatgutachten im Auftrag der Staatsanwaltschaft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