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NDA-Verhandlung und -Abschluss</w:t>
      </w:r>
    </w:p>
    <w:p>
      <w:pPr>
        <w:jc w:val="left"/>
      </w:pPr>
      <w:r>
        <w:rPr>
          <w:b/>
        </w:rPr>
        <w:t>Datum:</w:t>
      </w:r>
      <w:r>
        <w:t xml:space="preserve"> 20.–28. Oktober 2025</w:t>
      </w:r>
    </w:p>
    <w:p>
      <w:pPr>
        <w:jc w:val="left"/>
      </w:pPr>
      <w:r>
        <w:rPr>
          <w:b/>
        </w:rPr>
        <w:t>Bearbeiter:</w:t>
      </w:r>
      <w:r>
        <w:t xml:space="preserve"> RA Dr. Saskia Altenkamp, RA Prof. Dr. Felix Mannfeldt</w:t>
      </w:r>
    </w:p>
    <w:p>
      <w:pPr>
        <w:jc w:val="left"/>
      </w:pPr>
      <w:r>
        <w:rPr>
          <w:b/>
        </w:rPr>
        <w:t>Gegenpartei:</w:t>
      </w:r>
      <w:r>
        <w:t xml:space="preserve"> FraktoMedis SE, vertreten durch Dr. Hannes Schwarzbeck (CFO) und Rechtsanwälte Hecker, Bohn &amp; Noll (Muenchen)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Im Rahmen der M&amp;A-Transaktion wurde auf Betreiben der Mandantin VENERA Investment Group GmbH eine beidseitige Geheimhaltungsvereinbarung (NDA, Mutual Non-Disclosure Agreement) mit der FraktoMedis SE ausgehandelt.</w:t>
      </w:r>
    </w:p>
    <w:p>
      <w:pPr>
        <w:pStyle w:val="Heading2"/>
      </w:pPr>
      <w:r>
        <w:rPr>
          <w:rFonts w:ascii="Times New Roman" w:hAnsi="Times New Roman"/>
        </w:rPr>
        <w:t>2. Wesentliche Verhandlungspunkte</w:t>
      </w:r>
    </w:p>
    <w:p>
      <w:pPr>
        <w:pStyle w:val="Heading3"/>
      </w:pPr>
      <w:r>
        <w:rPr>
          <w:rFonts w:ascii="Times New Roman" w:hAnsi="Times New Roman"/>
        </w:rPr>
        <w:t>2.1 Schutzgegenstand</w:t>
      </w:r>
    </w:p>
    <w:p>
      <w:pPr>
        <w:jc w:val="left"/>
      </w:pPr>
      <w:r>
        <w:t>Streitig war insbesondere der Umfang der als vertraulich definierten Informationen. VENERA bestand auf einem weiten Schutzbegriff, der auch mündlich erteilte Informationen und im Rahmen von Management-Präsentationen gewonnene Erkenntnisse einschliessen sollte.</w:t>
      </w:r>
    </w:p>
    <w:p>
      <w:pPr>
        <w:jc w:val="left"/>
      </w:pPr>
      <w:r>
        <w:t>FraktoMedis SE — vertreten durch Hecker, Bohn &amp; Noll — wollte den Schutzbereich auf schriftlich als "vertraulich" gekennzeichnete Dokumente beschränken.</w:t>
      </w:r>
    </w:p>
    <w:p>
      <w:pPr>
        <w:jc w:val="left"/>
      </w:pPr>
      <w:r>
        <w:rPr>
          <w:b/>
        </w:rPr>
        <w:t>Kompromiss:</w:t>
      </w:r>
      <w:r>
        <w:t xml:space="preserve"> Vertraulichkeit gilt für alle Informationen, die als vertraulich bezeichnet oder als solche erkennbar sind; mündliche Informationen werden innerhalb von 5 Werktagen schriftlich bestätigt.</w:t>
      </w:r>
    </w:p>
    <w:p>
      <w:pPr>
        <w:pStyle w:val="Heading3"/>
      </w:pPr>
      <w:r>
        <w:rPr>
          <w:rFonts w:ascii="Times New Roman" w:hAnsi="Times New Roman"/>
        </w:rPr>
        <w:t>2.2 Laufzeit und Rückgabe</w:t>
      </w:r>
    </w:p>
    <w:p>
      <w:pPr>
        <w:pStyle w:val="ListBullet"/>
      </w:pPr>
      <w:r>
        <w:t>Laufzeit NDA: 3 Jahre ab Unterzeichnung, unabhängig vom Transaktionsausgang</w:t>
      </w:r>
    </w:p>
    <w:p>
      <w:pPr>
        <w:pStyle w:val="ListBullet"/>
      </w:pPr>
      <w:r>
        <w:t>Rückgabe oder Vernichtung aller Unterlagen bei Scheitern der Transaktion</w:t>
      </w:r>
    </w:p>
    <w:p>
      <w:pPr>
        <w:pStyle w:val="Heading3"/>
      </w:pPr>
      <w:r>
        <w:rPr>
          <w:rFonts w:ascii="Times New Roman" w:hAnsi="Times New Roman"/>
        </w:rPr>
        <w:t>2.3 Vertragsstrafe</w:t>
      </w:r>
    </w:p>
    <w:p>
      <w:pPr>
        <w:jc w:val="left"/>
      </w:pPr>
      <w:r>
        <w:t>Auf Bestreben von VENERA wurde eine Vertragsstrafe von 250.000 EUR pro Verstouss aufgenommen (§§ 339 ff. BGB), zahlbar ohne Nachweis eines konkreten Schadens. FraktoMedis wollte maximal 50.000 EUR; Einigung bei 150.000 EUR.</w:t>
      </w:r>
    </w:p>
    <w:p>
      <w:pPr>
        <w:pStyle w:val="Heading3"/>
      </w:pPr>
      <w:r>
        <w:rPr>
          <w:rFonts w:ascii="Times New Roman" w:hAnsi="Times New Roman"/>
        </w:rPr>
        <w:t>2.4 Standstill-Klausel</w:t>
      </w:r>
    </w:p>
    <w:p>
      <w:pPr>
        <w:jc w:val="left"/>
      </w:pPr>
      <w:r>
        <w:t>VENERA stimmte einer Standstill-Klausel zu, die es untersagt, während der Due-Diligence-Phase eigene Angebote an Mitarbeiter der FraktoMedis SE zu richten (Non-Solicitation, 18 Monate).</w:t>
      </w:r>
    </w:p>
    <w:p>
      <w:pPr>
        <w:pStyle w:val="Heading3"/>
      </w:pPr>
      <w:r>
        <w:rPr>
          <w:rFonts w:ascii="Times New Roman" w:hAnsi="Times New Roman"/>
        </w:rPr>
        <w:t>2.5 Gerichtsstand und Recht</w:t>
      </w:r>
    </w:p>
    <w:p>
      <w:pPr>
        <w:jc w:val="left"/>
      </w:pPr>
      <w:r>
        <w:t>Anwendbares Recht: deutsches Recht. Gerichtsstand: Frankfurt am Main. Schiedsklausel wurde von FraktoMedis-Seite abgelehnt.</w:t>
      </w:r>
    </w:p>
    <w:p>
      <w:pPr>
        <w:pStyle w:val="Heading2"/>
      </w:pPr>
      <w:r>
        <w:rPr>
          <w:rFonts w:ascii="Times New Roman" w:hAnsi="Times New Roman"/>
        </w:rPr>
        <w:t>3. Unterzeichnung</w:t>
      </w:r>
    </w:p>
    <w:p>
      <w:pPr>
        <w:jc w:val="left"/>
      </w:pPr>
      <w:r>
        <w:t>Das NDA wurde am 28. Oktober 2025 von Frau Theodora Volkenrath-Eichelmann (VENERA) und Dr. Hannes Schwarzbeck (FraktoMedis SE) unterzeichnet. Die Urkunde ist als Anlage 02-A zur Akte genommen.</w:t>
      </w:r>
    </w:p>
    <w:p>
      <w:pPr>
        <w:pStyle w:val="Heading2"/>
      </w:pPr>
      <w:r>
        <w:rPr>
          <w:rFonts w:ascii="Times New Roman" w:hAnsi="Times New Roman"/>
        </w:rPr>
        <w:t>4. Datenraum-Freigabe</w:t>
      </w:r>
    </w:p>
    <w:p>
      <w:pPr>
        <w:jc w:val="left"/>
      </w:pPr>
      <w:r>
        <w:t>Nach Unterzeichnung des NDA wurde der virtuelle Datenraum (Anbieter: Datasite Diligence) am 3. November 2025 für das LDD-Team freigeschaltet. Zugangsdaten wurden verschlüsselt übermittelt.</w:t>
      </w:r>
    </w:p>
    <w:p>
      <w:pPr>
        <w:pStyle w:val="Heading2"/>
      </w:pPr>
      <w:r>
        <w:rPr>
          <w:rFonts w:ascii="Times New Roman" w:hAnsi="Times New Roman"/>
        </w:rPr>
        <w:t>5. Rechtsgrundlagen</w:t>
      </w:r>
    </w:p>
    <w:p>
      <w:pPr>
        <w:pStyle w:val="ListBullet"/>
      </w:pPr>
      <w:r>
        <w:t>§§ 339 ff. BGB (Vertragsstrafe)</w:t>
      </w:r>
    </w:p>
    <w:p>
      <w:pPr>
        <w:pStyle w:val="ListBullet"/>
      </w:pPr>
      <w:r>
        <w:t>§ 241 Abs. 2 BGB (Nebenleistungspflichten, Vertraulichkeit)</w:t>
      </w:r>
    </w:p>
    <w:p>
      <w:pPr>
        <w:pStyle w:val="ListBullet"/>
      </w:pPr>
      <w:r>
        <w:t>§ 17 GeschGehG (Schutz von Geschäftsgeheimnissen)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§§ 339 ff. BGB</w:t>
      </w:r>
    </w:p>
    <w:p>
      <w:pPr>
        <w:pStyle w:val="ListBullet"/>
      </w:pPr>
      <w:r>
        <w:t>dejure.org — GeschGehG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FraktoMedis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FRAKTOMEDIS SE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vertreten durch Dr. Hannes Schwarzbeck (CFO) und Rechtsanwälte Hecker, Bohn &amp; Noll (Muenchen)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