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04 — LDD Workstream Corporate</w:t>
      </w:r>
    </w:p>
    <w:p>
      <w:pPr>
        <w:jc w:val="left"/>
      </w:pPr>
      <w:r>
        <w:rPr>
          <w:b/>
        </w:rPr>
        <w:t>Datum:</w:t>
      </w:r>
      <w:r>
        <w:t xml:space="preserve"> 3.–28. November 2025</w:t>
      </w:r>
    </w:p>
    <w:p>
      <w:pPr>
        <w:jc w:val="left"/>
      </w:pPr>
      <w:r>
        <w:rPr>
          <w:b/>
        </w:rPr>
        <w:t>Bearbeiter:</w:t>
      </w:r>
      <w:r>
        <w:t xml:space="preserve"> RA Prof. Dr. Felix Mannfeldt, RA Julius Ravensberg</w:t>
      </w:r>
    </w:p>
    <w:p>
      <w:pPr>
        <w:jc w:val="left"/>
      </w:pPr>
      <w:r>
        <w:rPr>
          <w:b/>
        </w:rPr>
        <w:t>Workstream:</w:t>
      </w:r>
      <w:r>
        <w:t xml:space="preserve"> Corporate / Gesellschaftsrecht</w:t>
      </w:r>
    </w:p>
    <w:p/>
    <w:p>
      <w:pPr>
        <w:pStyle w:val="Heading2"/>
      </w:pPr>
      <w:r>
        <w:rPr>
          <w:rFonts w:ascii="Times New Roman" w:hAnsi="Times New Roman"/>
        </w:rPr>
        <w:t>1. Prüfungsgegenstand</w:t>
      </w:r>
    </w:p>
    <w:p>
      <w:pPr>
        <w:jc w:val="left"/>
      </w:pPr>
      <w:r>
        <w:t>Der Corporate-Workstream der Legal Due Diligence (LDD) prüfte die gesellschaftsrechtliche Verfassung der FraktoMedis SE sowie den Bereich der zu übertragenden Assets.</w:t>
      </w:r>
    </w:p>
    <w:p>
      <w:pPr>
        <w:pStyle w:val="Heading2"/>
      </w:pPr>
      <w:r>
        <w:rPr>
          <w:rFonts w:ascii="Times New Roman" w:hAnsi="Times New Roman"/>
        </w:rPr>
        <w:t>2. Gesellschaftsrechtliche Struktur der FraktoMedis SE</w:t>
      </w:r>
    </w:p>
    <w:p>
      <w:pPr>
        <w:jc w:val="left"/>
      </w:pPr>
      <w:r>
        <w:rPr>
          <w:b/>
        </w:rPr>
        <w:t>Rechtsform:</w:t>
      </w:r>
      <w:r>
        <w:t xml:space="preserve"> SE (Societas Europaea) mit Sitz in Darmstadt, eingetragen beim Amtsgericht Darmstadt unter HRB 18834.</w:t>
      </w:r>
    </w:p>
    <w:p>
      <w:pPr>
        <w:jc w:val="left"/>
      </w:pPr>
      <w:r>
        <w:rPr>
          <w:b/>
        </w:rPr>
        <w:t>Grundkapital:</w:t>
      </w:r>
      <w:r>
        <w:t xml:space="preserve"> 12 Mio. EUR, eingeteilt in 12.000.000 Stuckaktien.</w:t>
      </w:r>
    </w:p>
    <w:p>
      <w:pPr>
        <w:jc w:val="left"/>
      </w:pPr>
      <w:r>
        <w:rPr>
          <w:b/>
        </w:rPr>
        <w:t>Hauptaktionär:</w:t>
      </w:r>
      <w:r>
        <w:t xml:space="preserve"> FraktoMedis Holding GmbH (82%), Streubesitz (18%).</w:t>
      </w:r>
    </w:p>
    <w:p>
      <w:pPr>
        <w:jc w:val="left"/>
      </w:pPr>
      <w:r>
        <w:rPr>
          <w:b/>
        </w:rPr>
        <w:t>Vorstand:</w:t>
      </w:r>
      <w:r>
        <w:t xml:space="preserve"> Dr. Lukas Mayr-Forster (Vorsitzender, CEO), Dr. Hannes Schwarzbeck (CFO), Dr. Ingeborg Waltenmayer (COO).</w:t>
      </w:r>
    </w:p>
    <w:p>
      <w:pPr>
        <w:jc w:val="left"/>
      </w:pPr>
      <w:r>
        <w:rPr>
          <w:b/>
        </w:rPr>
        <w:t>Aufsichtsrat:</w:t>
      </w:r>
      <w:r>
        <w:t xml:space="preserve"> 6 Mitglieder (3 Anteilseignervertreter, 3 Arbeitnehmervertreter) gemäß MitbestG.</w:t>
      </w:r>
    </w:p>
    <w:p>
      <w:pPr>
        <w:pStyle w:val="Heading2"/>
      </w:pPr>
      <w:r>
        <w:rPr>
          <w:rFonts w:ascii="Times New Roman" w:hAnsi="Times New Roman"/>
        </w:rPr>
        <w:t>3. Prüfungsergebnisse</w:t>
      </w:r>
    </w:p>
    <w:p>
      <w:pPr>
        <w:pStyle w:val="Heading3"/>
      </w:pPr>
      <w:r>
        <w:rPr>
          <w:rFonts w:ascii="Times New Roman" w:hAnsi="Times New Roman"/>
        </w:rPr>
        <w:t>3.1 Handelsregistereintragungen</w:t>
      </w:r>
    </w:p>
    <w:p>
      <w:pPr>
        <w:jc w:val="left"/>
      </w:pPr>
      <w:r>
        <w:t>Alle wesentlichen Eintragungen (Gründung, Kapitalerhöhungen, Vorstandsbestellungen) sind ordnungsgemaess im Handelsregister eingetragen und stimmen mit den vorgelegten Dokumenten überein.</w:t>
      </w:r>
    </w:p>
    <w:p>
      <w:pPr>
        <w:jc w:val="left"/>
      </w:pPr>
      <w:r>
        <w:rPr>
          <w:b/>
        </w:rPr>
        <w:t>Finding C-01 (MEDIUM):</w:t>
      </w:r>
      <w:r>
        <w:t xml:space="preserve"> Die Bestellung von Dr. Hannes Schwarzbeck als CFO wurde am 14. März 2023 beschlossen, jedoch erst am 29. April 2023 ins Handelsregister eingetragen. Die Zwischenphase birgt geringes Haftungsrisiko (§ 84 AktG), ist jedoch als Ordnungswidrigkeit zu bewerten.</w:t>
      </w:r>
    </w:p>
    <w:p>
      <w:pPr>
        <w:pStyle w:val="Heading3"/>
      </w:pPr>
      <w:r>
        <w:rPr>
          <w:rFonts w:ascii="Times New Roman" w:hAnsi="Times New Roman"/>
        </w:rPr>
        <w:t>3.2 Gesellschafterbeschluesse</w:t>
      </w:r>
    </w:p>
    <w:p>
      <w:pPr>
        <w:jc w:val="left"/>
      </w:pPr>
      <w:r>
        <w:t>Prüfung aller relevanter Hauptversammlungsbeschlüsse der letzten 5 Jahre. Keine anfechtbaren Beschlüsse identifiziert.</w:t>
      </w:r>
    </w:p>
    <w:p>
      <w:pPr>
        <w:jc w:val="left"/>
      </w:pPr>
      <w:r>
        <w:rPr>
          <w:b/>
        </w:rPr>
        <w:t>Finding C-02 (HIGH):</w:t>
      </w:r>
      <w:r>
        <w:t xml:space="preserve"> Der Carve-Out-Beschluss des Aufsichtsrats vom 8. September 2025 enthält keine explizite Ermächtigung zur Einbeziehung der Patentrechte des Bereichs "FraktoMedis Präzision" in den Asset-Verkauf. Nach § 179a AktG ist bei Veraeusserung wesentlicher Vermögensteile ein Hauptversammlungsbeschluss erforderlich, soweit der Vermögenswert den ublichen Rahmen des Geschaftsbetriebs übersteigt (BGH-Entscheidung "Holzmüller"-Grundsätze, BGHZ 83, 122). Handlungsbedarf: Nachholung eines HV-Beschlusses oder Gutachten zur Wesentlichkeitsschwelle.</w:t>
      </w:r>
    </w:p>
    <w:p>
      <w:pPr>
        <w:pStyle w:val="Heading3"/>
      </w:pPr>
      <w:r>
        <w:rPr>
          <w:rFonts w:ascii="Times New Roman" w:hAnsi="Times New Roman"/>
        </w:rPr>
        <w:t>3.3 Satzung und Nebenvereinbarungen</w:t>
      </w:r>
    </w:p>
    <w:p>
      <w:pPr>
        <w:jc w:val="left"/>
      </w:pPr>
      <w:r>
        <w:t>Keine Vinkulierungsklauseln oder Vorkaufsrechte Dritter, die den Asset Deal behindern würden. Keine Aktionärsbindungsverträge bekannt.</w:t>
      </w:r>
    </w:p>
    <w:p>
      <w:pPr>
        <w:pStyle w:val="Heading3"/>
      </w:pPr>
      <w:r>
        <w:rPr>
          <w:rFonts w:ascii="Times New Roman" w:hAnsi="Times New Roman"/>
        </w:rPr>
        <w:t>3.4 Genehmigungen und Lizenzen</w:t>
      </w:r>
    </w:p>
    <w:p>
      <w:pPr>
        <w:jc w:val="left"/>
      </w:pPr>
      <w:r>
        <w:t>Sämtliche für den Betrieb des Geschäftsbereichs erforderlichen Betriebsgenehmigungen (BImSchG, MPG) liegen vor. Pruefung der Übertragbarkeit auf VENERA — teilweise sind neue Genehmigungen zu beantragen (Standort Darmstadt-Nord).</w:t>
      </w:r>
    </w:p>
    <w:p>
      <w:pPr>
        <w:pStyle w:val="Heading2"/>
      </w:pPr>
      <w:r>
        <w:rPr>
          <w:rFonts w:ascii="Times New Roman" w:hAnsi="Times New Roman"/>
        </w:rPr>
        <w:t>4. Zusammenfassung Risiken</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Finding</w:t>
            </w:r>
          </w:p>
        </w:tc>
        <w:tc>
          <w:tcPr>
            <w:tcW w:type="dxa" w:w="3024"/>
          </w:tcPr>
          <w:p>
            <w:r>
              <w:rPr>
                <w:rFonts w:ascii="Times New Roman" w:hAnsi="Times New Roman"/>
                <w:b/>
                <w:sz w:val="20"/>
              </w:rPr>
              <w:t>Kategorie</w:t>
            </w:r>
          </w:p>
        </w:tc>
        <w:tc>
          <w:tcPr>
            <w:tcW w:type="dxa" w:w="3024"/>
          </w:tcPr>
          <w:p>
            <w:r>
              <w:rPr>
                <w:rFonts w:ascii="Times New Roman" w:hAnsi="Times New Roman"/>
                <w:b/>
                <w:sz w:val="20"/>
              </w:rPr>
              <w:t>Priorität</w:t>
            </w:r>
          </w:p>
        </w:tc>
      </w:tr>
      <w:tr>
        <w:tc>
          <w:tcPr>
            <w:tcW w:type="dxa" w:w="3024"/>
          </w:tcPr>
          <w:p>
            <w:r>
              <w:rPr>
                <w:rFonts w:ascii="Times New Roman" w:hAnsi="Times New Roman"/>
                <w:sz w:val="20"/>
              </w:rPr>
              <w:t>C-01</w:t>
            </w:r>
          </w:p>
        </w:tc>
        <w:tc>
          <w:tcPr>
            <w:tcW w:type="dxa" w:w="3024"/>
          </w:tcPr>
          <w:p>
            <w:r>
              <w:rPr>
                <w:rFonts w:ascii="Times New Roman" w:hAnsi="Times New Roman"/>
                <w:sz w:val="20"/>
              </w:rPr>
              <w:t>HRegister-Unregelmäßigkeit</w:t>
            </w:r>
          </w:p>
        </w:tc>
        <w:tc>
          <w:tcPr>
            <w:tcW w:type="dxa" w:w="3024"/>
          </w:tcPr>
          <w:p>
            <w:r>
              <w:rPr>
                <w:rFonts w:ascii="Times New Roman" w:hAnsi="Times New Roman"/>
                <w:sz w:val="20"/>
              </w:rPr>
              <w:t>MEDIUM</w:t>
            </w:r>
          </w:p>
        </w:tc>
      </w:tr>
      <w:tr>
        <w:tc>
          <w:tcPr>
            <w:tcW w:type="dxa" w:w="3024"/>
          </w:tcPr>
          <w:p>
            <w:r>
              <w:rPr>
                <w:rFonts w:ascii="Times New Roman" w:hAnsi="Times New Roman"/>
                <w:sz w:val="20"/>
              </w:rPr>
              <w:t>C-02</w:t>
            </w:r>
          </w:p>
        </w:tc>
        <w:tc>
          <w:tcPr>
            <w:tcW w:type="dxa" w:w="3024"/>
          </w:tcPr>
          <w:p>
            <w:r>
              <w:rPr>
                <w:rFonts w:ascii="Times New Roman" w:hAnsi="Times New Roman"/>
                <w:sz w:val="20"/>
              </w:rPr>
              <w:t>Fehlender HV-Beschluss zum Carve-Out</w:t>
            </w:r>
          </w:p>
        </w:tc>
        <w:tc>
          <w:tcPr>
            <w:tcW w:type="dxa" w:w="3024"/>
          </w:tcPr>
          <w:p>
            <w:r>
              <w:rPr>
                <w:rFonts w:ascii="Times New Roman" w:hAnsi="Times New Roman"/>
                <w:sz w:val="20"/>
              </w:rPr>
              <w:t>HIGH</w:t>
            </w:r>
          </w:p>
        </w:tc>
      </w:tr>
    </w:tbl>
    <w:p>
      <w:pPr>
        <w:pStyle w:val="Heading2"/>
      </w:pPr>
      <w:r>
        <w:rPr>
          <w:rFonts w:ascii="Times New Roman" w:hAnsi="Times New Roman"/>
        </w:rPr>
        <w:t>5. Empfehlungen</w:t>
      </w:r>
    </w:p>
    <w:p>
      <w:pPr>
        <w:pStyle w:val="ListBullet"/>
      </w:pPr>
      <w:r>
        <w:t>Unmittelbare Einholung eines Rechtsgutachtens zur Wesentlichkeit des Carve-Outs gemäß § 179a AktG</w:t>
      </w:r>
    </w:p>
    <w:p>
      <w:pPr>
        <w:pStyle w:val="ListBullet"/>
      </w:pPr>
      <w:r>
        <w:t>Einberufung einer ausserordentlichen HV oder Einholen schriftlicher Genehmigung aller Hauptaktionäre</w:t>
      </w:r>
    </w:p>
    <w:p>
      <w:pPr>
        <w:pStyle w:val="ListBullet"/>
      </w:pPr>
      <w:r>
        <w:t>Aufnahme der Thematik in das Red-Flag-Memorandum (Priorität: HIGH)</w:t>
      </w:r>
    </w:p>
    <w:p/>
    <w:p>
      <w:pPr>
        <w:jc w:val="left"/>
      </w:pPr>
      <w:r>
        <w:rPr>
          <w:b/>
        </w:rPr>
        <w:t>Quellen:</w:t>
      </w:r>
    </w:p>
    <w:p>
      <w:pPr>
        <w:pStyle w:val="ListBullet"/>
      </w:pPr>
      <w:r>
        <w:t>dejure.org — § 179a AktG</w:t>
      </w:r>
    </w:p>
    <w:p>
      <w:pPr>
        <w:pStyle w:val="ListBullet"/>
      </w:pPr>
      <w:r>
        <w:t>bundesgerichtshof.de — BGHZ 83, 122 (Holzmueller)</w:t>
      </w:r>
    </w:p>
    <w:p>
      <w:pPr>
        <w:pStyle w:val="ListBullet"/>
      </w:pPr>
      <w:r>
        <w:t>dejure.org — § 84 AktG</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FraktoMedis SE</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2C5230"/>
        <w:sz w:val="24"/>
      </w:rPr>
      <w:t>FraktoMedis SE</w:t>
    </w:r>
  </w:p>
  <w:p>
    <w:pPr>
      <w:jc w:val="left"/>
      <w:pBdr>
        <w:bottom w:val="single" w:sz="6" w:space="2" w:color="2C5230"/>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