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LDD Workstream Litigation</w:t>
      </w:r>
    </w:p>
    <w:p>
      <w:pPr>
        <w:jc w:val="left"/>
      </w:pPr>
      <w:r>
        <w:rPr>
          <w:b/>
        </w:rPr>
        <w:t>Datum:</w:t>
      </w:r>
      <w:r>
        <w:t xml:space="preserve"> 3.–28. November 2025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 Johannes Frielinghaus</w:t>
      </w:r>
    </w:p>
    <w:p>
      <w:pPr>
        <w:jc w:val="left"/>
      </w:pPr>
      <w:r>
        <w:rPr>
          <w:b/>
        </w:rPr>
        <w:t>Workstream:</w:t>
      </w:r>
      <w:r>
        <w:t xml:space="preserve"> Litigation / Streitigkeiten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jc w:val="left"/>
      </w:pPr>
      <w:r>
        <w:t>Sämtliche aktive und potenzielle Rechtsstreitigkeiten, Schiedsverfahren, behördliche Verfahren sowie Haftungsrisiken des Geschäftsbereichs FraktoMedis Präzision.</w:t>
      </w:r>
    </w:p>
    <w:p>
      <w:pPr>
        <w:pStyle w:val="Heading2"/>
      </w:pPr>
      <w:r>
        <w:rPr>
          <w:rFonts w:ascii="Times New Roman" w:hAnsi="Times New Roman"/>
        </w:rPr>
        <w:t>2. Aktive Gerichtsverfahren</w:t>
      </w:r>
    </w:p>
    <w:p>
      <w:pPr>
        <w:pStyle w:val="Heading3"/>
      </w:pPr>
      <w:r>
        <w:rPr>
          <w:rFonts w:ascii="Times New Roman" w:hAnsi="Times New Roman"/>
        </w:rPr>
        <w:t>2.1 Produkthaftung</w:t>
      </w:r>
    </w:p>
    <w:p>
      <w:pPr>
        <w:pStyle w:val="ListBullet"/>
      </w:pPr>
      <w:r>
        <w:t>4 Produkthaftungsklagen (LG Frankfurt und LG Mannheim) wegen behaupteter Implantat-Versagen (Gesamtstreitwert: ca. 3,8 Mio. EUR). Versicherungsschutz durch AXA Versicherung AG besteht für 3 von 4 Fällen; ein Fall liegt ausserhalb der Deckungssumme.</w:t>
      </w:r>
    </w:p>
    <w:p>
      <w:pPr>
        <w:jc w:val="left"/>
      </w:pPr>
      <w:r>
        <w:rPr>
          <w:b/>
        </w:rPr>
        <w:t>Finding LIT-01 (MEDIUM):</w:t>
      </w:r>
      <w:r>
        <w:t xml:space="preserve"> Ein Haftungsfall (Az. 2 O 8814/24, LG Frankfurt) mit einem Streitwert von ca. 1,2 Mio. EUR ist nicht vollständig versicherungsgedeckt. Käufer übernimmt dieses Risiko im Asset Deal sofern nicht Indemnity vereinbart wird.</w:t>
      </w:r>
    </w:p>
    <w:p>
      <w:pPr>
        <w:pStyle w:val="Heading3"/>
      </w:pPr>
      <w:r>
        <w:rPr>
          <w:rFonts w:ascii="Times New Roman" w:hAnsi="Times New Roman"/>
        </w:rPr>
        <w:t>2.2 Patentnichtigkeitsklage</w:t>
      </w:r>
    </w:p>
    <w:p>
      <w:pPr>
        <w:jc w:val="left"/>
      </w:pPr>
      <w:r>
        <w:t>Siehe LDD Workstream IP (Finding IP-01): BPatG 3 Ni 44/24. Dieses Verfahren hat unmittelbare Auswirkung auf den Kaufpreis.</w:t>
      </w:r>
    </w:p>
    <w:p>
      <w:pPr>
        <w:pStyle w:val="Heading3"/>
      </w:pPr>
      <w:r>
        <w:rPr>
          <w:rFonts w:ascii="Times New Roman" w:hAnsi="Times New Roman"/>
        </w:rPr>
        <w:t>2.3 Arbeitsgericht</w:t>
      </w:r>
    </w:p>
    <w:p>
      <w:pPr>
        <w:jc w:val="left"/>
      </w:pPr>
      <w:r>
        <w:t>3 laufende Kündigungsschutzverfahren (geringes Risiko, Streitwert je ca. 18.000–35.000 EUR).</w:t>
      </w:r>
    </w:p>
    <w:p>
      <w:pPr>
        <w:pStyle w:val="Heading2"/>
      </w:pPr>
      <w:r>
        <w:rPr>
          <w:rFonts w:ascii="Times New Roman" w:hAnsi="Times New Roman"/>
        </w:rPr>
        <w:t>3. Potenzielle Streitigkeiten / Behördliche Verfahren</w:t>
      </w:r>
    </w:p>
    <w:p>
      <w:pPr>
        <w:jc w:val="left"/>
      </w:pPr>
      <w:r>
        <w:rPr>
          <w:b/>
        </w:rPr>
        <w:t>Finding LIT-02 (KRITISCH):</w:t>
      </w:r>
      <w:r>
        <w:t xml:space="preserve"> Im November 2025 wurde bekannt, dass das DOJ (US Department of Justice) der US-Tochter FraktoMedis Inc. (Delaware) einen Subpoena im Zusammenhang mit mutmasslicher Ausschreibungsmanipulation bei US-Krankenhaus-Beschaffungen zugeleitet hat. Das DOJ-Verfahren steht im Zusammenhang mit dem FCPA-Verdacht (Foreign Corrupt Practices Act). Details: siehe Aktenstück 16.</w:t>
      </w:r>
    </w:p>
    <w:p>
      <w:pPr>
        <w:jc w:val="left"/>
      </w:pPr>
      <w:r>
        <w:rPr>
          <w:b/>
        </w:rPr>
        <w:t>Finding LIT-03 (HIGH):</w:t>
      </w:r>
      <w:r>
        <w:t xml:space="preserve"> Intern dokumentierter Hinweis über die HinSchG-Hotline der FraktoMedis SE auf Korruptionspraktiken bei Lateinamerika-Geschäften 2022 (Details: Red-Flag-Memorandum, Aktenstück 10).</w:t>
      </w:r>
    </w:p>
    <w:p>
      <w:pPr>
        <w:pStyle w:val="Heading2"/>
      </w:pPr>
      <w:r>
        <w:rPr>
          <w:rFonts w:ascii="Times New Roman" w:hAnsi="Times New Roman"/>
        </w:rPr>
        <w:t>4. Contingent Liabilities</w:t>
      </w:r>
    </w:p>
    <w:p>
      <w:pPr>
        <w:jc w:val="left"/>
      </w:pPr>
      <w:r>
        <w:t>Die Gesamtsumme der contingent liabilities aus Litigation-Workstream beträgt gemäß LDD-Einschätzung zwischen 5 Mio. EUR (Mindestszenario) und 22 Mio. EUR (Worst Case inkl. FCPA).</w:t>
      </w:r>
    </w:p>
    <w:p>
      <w:pPr>
        <w:pStyle w:val="Heading2"/>
      </w:pPr>
      <w:r>
        <w:rPr>
          <w:rFonts w:ascii="Times New Roman" w:hAnsi="Times New Roman"/>
        </w:rPr>
        <w:t>5. Empfehlungen</w:t>
      </w:r>
    </w:p>
    <w:p>
      <w:pPr>
        <w:pStyle w:val="ListBullet"/>
      </w:pPr>
      <w:r>
        <w:t>Litigation-Indemnities im SPA für alle identifizierten Altfälle</w:t>
      </w:r>
    </w:p>
    <w:p>
      <w:pPr>
        <w:pStyle w:val="ListBullet"/>
      </w:pPr>
      <w:r>
        <w:t>Escrow-Einbehalt (zusätzlich zum Earn-Out-Escrow) für Litigation-Risiken, Vorschlag: 4 Mio. EUR</w:t>
      </w:r>
    </w:p>
    <w:p>
      <w:pPr>
        <w:pStyle w:val="ListBullet"/>
      </w:pPr>
      <w:r>
        <w:t>Strafrechts-Compliance-Pruefung (FCPA/DOJ) durch US-Counsel hinzuziehen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823 BGB (Produkthaftung)</w:t>
      </w:r>
    </w:p>
    <w:p>
      <w:pPr>
        <w:pStyle w:val="ListBullet"/>
      </w:pPr>
      <w:r>
        <w:t>openjur.de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2. Aktive Gerichtsverfahren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2. Aktive Gerichtsverfahren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