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Post-Closing: Integration und Laufende Massnahmen</w:t>
      </w:r>
    </w:p>
    <w:p>
      <w:pPr>
        <w:jc w:val="left"/>
      </w:pPr>
      <w:r>
        <w:rPr>
          <w:b/>
        </w:rPr>
        <w:t>Datum:</w:t>
      </w:r>
      <w:r>
        <w:t xml:space="preserve"> Ab 1. August 2026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 (koordinierend), RAin Dr. Petra Kammerlohr (Arbeitsrecht)</w:t>
      </w:r>
    </w:p>
    <w:p/>
    <w:p>
      <w:pPr>
        <w:pStyle w:val="Heading2"/>
      </w:pPr>
      <w:r>
        <w:rPr>
          <w:rFonts w:ascii="Times New Roman" w:hAnsi="Times New Roman"/>
        </w:rPr>
        <w:t>1. Integration-Roadmap (100-Tage-Plan)</w:t>
      </w:r>
    </w:p>
    <w:p>
      <w:pPr>
        <w:pStyle w:val="Heading3"/>
      </w:pPr>
      <w:r>
        <w:rPr>
          <w:rFonts w:ascii="Times New Roman" w:hAnsi="Times New Roman"/>
        </w:rPr>
        <w:t>Monat 1 (August 2026)</w:t>
      </w:r>
    </w:p>
    <w:p>
      <w:pPr>
        <w:pStyle w:val="ListBullet"/>
      </w:pPr>
      <w:r>
        <w:t>IT-Separation von FraktoMedis SE-Konzern (Transition Services Agreement läuft 6 Monate)</w:t>
      </w:r>
    </w:p>
    <w:p>
      <w:pPr>
        <w:pStyle w:val="ListBullet"/>
      </w:pPr>
      <w:r>
        <w:t>Neue VENERA-Fuehrungs- und Berichtsstrukturen am Standort Darmstadt</w:t>
      </w:r>
    </w:p>
    <w:p>
      <w:pPr>
        <w:pStyle w:val="ListBullet"/>
      </w:pPr>
      <w:r>
        <w:t>Betriebsrat-Unterrichtung über Integrationsplan</w:t>
      </w:r>
    </w:p>
    <w:p>
      <w:pPr>
        <w:pStyle w:val="ListBullet"/>
      </w:pPr>
      <w:r>
        <w:t>Eröffnung eigener Bankverbindungen (Deutsche Bank Frankfurt)</w:t>
      </w:r>
    </w:p>
    <w:p>
      <w:pPr>
        <w:pStyle w:val="Heading3"/>
      </w:pPr>
      <w:r>
        <w:rPr>
          <w:rFonts w:ascii="Times New Roman" w:hAnsi="Times New Roman"/>
        </w:rPr>
        <w:t>Monat 2–3 (September–Oktober 2026)</w:t>
      </w:r>
    </w:p>
    <w:p>
      <w:pPr>
        <w:pStyle w:val="ListBullet"/>
      </w:pPr>
      <w:r>
        <w:t>Integration in VENERA-Compliance-Framework</w:t>
      </w:r>
    </w:p>
    <w:p>
      <w:pPr>
        <w:pStyle w:val="ListBullet"/>
      </w:pPr>
      <w:r>
        <w:t>Neue VENERA-Arbeitsverträge für Führungskräfte (soweit nicht nach § 613a BGB fortgeführt)</w:t>
      </w:r>
    </w:p>
    <w:p>
      <w:pPr>
        <w:pStyle w:val="ListBullet"/>
      </w:pPr>
      <w:r>
        <w:t>Kundenbenachrichtigung (B2B-Kunden, ca. 120 Stammkunden)</w:t>
      </w:r>
    </w:p>
    <w:p>
      <w:pPr>
        <w:pStyle w:val="ListBullet"/>
      </w:pPr>
      <w:r>
        <w:t>Anpassung CE-Kennzeichnungen an neue Inhaber-Firmenangaben</w:t>
      </w:r>
    </w:p>
    <w:p>
      <w:pPr>
        <w:pStyle w:val="Heading3"/>
      </w:pPr>
      <w:r>
        <w:rPr>
          <w:rFonts w:ascii="Times New Roman" w:hAnsi="Times New Roman"/>
        </w:rPr>
        <w:t>Monat 4–6 (November 2026 – Januar 2027)</w:t>
      </w:r>
    </w:p>
    <w:p>
      <w:pPr>
        <w:pStyle w:val="ListBullet"/>
      </w:pPr>
      <w:r>
        <w:t>Abschluss IT-Separation</w:t>
      </w:r>
    </w:p>
    <w:p>
      <w:pPr>
        <w:pStyle w:val="ListBullet"/>
      </w:pPr>
      <w:r>
        <w:t>Erste Jahresplanung unter VENERA-Eigenregie</w:t>
      </w:r>
    </w:p>
    <w:p>
      <w:pPr>
        <w:pStyle w:val="ListBullet"/>
      </w:pPr>
      <w:r>
        <w:t>Pruefung Zertifizierungserhalt (ISO 13485, MDR)</w:t>
      </w:r>
    </w:p>
    <w:p>
      <w:pPr>
        <w:pStyle w:val="Heading2"/>
      </w:pPr>
      <w:r>
        <w:rPr>
          <w:rFonts w:ascii="Times New Roman" w:hAnsi="Times New Roman"/>
        </w:rPr>
        <w:t>2. Earn-Out-Monitoring</w:t>
      </w:r>
    </w:p>
    <w:p>
      <w:pPr>
        <w:jc w:val="left"/>
      </w:pPr>
      <w:r>
        <w:t>Ab Closing überwacht das Kanzleiteam quartaerlich die EBITDA-Entwicklung des Geschäftsbereichs im Hinblick auf die Earn-Out-Berechnung. Ansprechpartner bei VENERA: CFO (wird noch ernannt).</w:t>
      </w:r>
    </w:p>
    <w:p>
      <w:pPr>
        <w:pStyle w:val="Heading2"/>
      </w:pPr>
      <w:r>
        <w:rPr>
          <w:rFonts w:ascii="Times New Roman" w:hAnsi="Times New Roman"/>
        </w:rPr>
        <w:t>3. Litigation-Monitoring</w:t>
      </w:r>
    </w:p>
    <w:p>
      <w:pPr>
        <w:jc w:val="left"/>
      </w:pPr>
      <w:r>
        <w:t>Folgende Verfahren bleiben offen und werden weiter beobachtet:</w:t>
      </w:r>
    </w:p>
    <w:p>
      <w:pPr>
        <w:pStyle w:val="ListBullet"/>
      </w:pPr>
      <w:r>
        <w:t>DOJ-Verfahren FraktoMedis Inc. (US): US-Counsel Covington &amp; Burling weiter mandatiert</w:t>
      </w:r>
    </w:p>
    <w:p>
      <w:pPr>
        <w:pStyle w:val="ListBullet"/>
      </w:pPr>
      <w:r>
        <w:t>BPatG 3 Ni 44/24 (Patentnichtigkeitsklage): Eigene Patentanwälte (Bardtke, Grieben &amp; Partner, Muenchen) mandatiert</w:t>
      </w:r>
    </w:p>
    <w:p>
      <w:pPr>
        <w:pStyle w:val="ListBullet"/>
      </w:pPr>
      <w:r>
        <w:t>LG Frankfurt 2 O 8814/24 (Produkthaftung): Zivilrechtlich betreut durch VENERA-Inhouse-Counsel</w:t>
      </w:r>
    </w:p>
    <w:p>
      <w:pPr>
        <w:pStyle w:val="Heading2"/>
      </w:pPr>
      <w:r>
        <w:rPr>
          <w:rFonts w:ascii="Times New Roman" w:hAnsi="Times New Roman"/>
        </w:rPr>
        <w:t>4. Garantie-Verjaehrungsueberwachung</w:t>
      </w:r>
    </w:p>
    <w:p>
      <w:pPr>
        <w:jc w:val="left"/>
      </w:pPr>
      <w:r>
        <w:t>Die Kanzlei führt einen Verjaehrungskalender für alle APA-Garantien. Fristen:</w:t>
      </w:r>
    </w:p>
    <w:p>
      <w:pPr>
        <w:pStyle w:val="ListBullet"/>
      </w:pPr>
      <w:r>
        <w:t>Allgemeine Garantien: Bis 31. Januar 2028</w:t>
      </w:r>
    </w:p>
    <w:p>
      <w:pPr>
        <w:pStyle w:val="ListBullet"/>
      </w:pPr>
      <w:r>
        <w:t>Steuer-/Compliance-Garantien: Bis 31. Juli 2031</w:t>
      </w:r>
    </w:p>
    <w:p>
      <w:pPr>
        <w:pStyle w:val="ListBullet"/>
      </w:pPr>
      <w:r>
        <w:t>Arglist-Regelung: 10 Jahre</w:t>
      </w:r>
    </w:p>
    <w:p>
      <w:pPr>
        <w:pStyle w:val="Heading2"/>
      </w:pPr>
      <w:r>
        <w:rPr>
          <w:rFonts w:ascii="Times New Roman" w:hAnsi="Times New Roman"/>
        </w:rPr>
        <w:t>5. Regulatorische Compliance</w:t>
      </w:r>
    </w:p>
    <w:p>
      <w:pPr>
        <w:pStyle w:val="ListBullet"/>
      </w:pPr>
      <w:r>
        <w:t>Jährliche MDR/ISO-Audits: Nächstes Audit Mai 2027</w:t>
      </w:r>
    </w:p>
    <w:p>
      <w:pPr>
        <w:pStyle w:val="ListBullet"/>
      </w:pPr>
      <w:r>
        <w:t>DSGVO: Datenschutzbeauftragter neu bestellt (intern VENERA)</w:t>
      </w:r>
    </w:p>
    <w:p>
      <w:pPr>
        <w:pStyle w:val="ListBullet"/>
      </w:pPr>
      <w:r>
        <w:t>HinSchG-Hotline: VENERA-eigene Meldestelle ab Closing aktiviert</w:t>
      </w:r>
    </w:p>
    <w:p>
      <w:pPr>
        <w:pStyle w:val="Heading2"/>
      </w:pPr>
      <w:r>
        <w:rPr>
          <w:rFonts w:ascii="Times New Roman" w:hAnsi="Times New Roman"/>
        </w:rPr>
        <w:t>6. Abschluss des Mandats</w:t>
      </w:r>
    </w:p>
    <w:p>
      <w:pPr>
        <w:jc w:val="left"/>
      </w:pPr>
      <w:r>
        <w:t>Das transaktionsbezogene Mandat bei Drosselberg, Mannfeldt &amp; Partner wird mit Abschluss der 100-Tage-Integration (Ende Oktober 2026) in ein laufendes Beratungsmandat übergeleitet. Abschlussrechnung und Erfolgshonorar (0,35% des Transaktionswerts = 175.000 EUR) wird im August 2026 erstellt.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613a BGB</w:t>
      </w:r>
    </w:p>
    <w:p>
      <w:pPr>
        <w:pStyle w:val="ListBullet"/>
      </w:pPr>
      <w:r>
        <w:t>dejure.org — § 438 BGB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FraktoMedis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FraktoMedis SE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