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Konflikt-Check-Protokoll Q2/2026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Erstellt: 01.07.2026 | Verantwortlich: Dr. Falk Roosendaal (Managing Partner)</w:t>
      </w:r>
    </w:p>
    <w:p>
      <w:pPr>
        <w:jc w:val="left"/>
      </w:pPr>
      <w:r>
        <w:t>Grundlage: BORA §§ 3, 4; BRAO § 43a Abs. 4; BerufsO der RAK Köln</w:t>
      </w:r>
    </w:p>
    <w:p/>
    <w:p>
      <w:pPr>
        <w:pStyle w:val="Heading2"/>
      </w:pPr>
      <w:r>
        <w:rPr>
          <w:rFonts w:ascii="Times New Roman" w:hAnsi="Times New Roman"/>
        </w:rPr>
        <w:t>Zweck</w:t>
      </w:r>
    </w:p>
    <w:p>
      <w:pPr>
        <w:jc w:val="left"/>
      </w:pPr>
      <w:r>
        <w:t>Dieses Protokoll dokumentiert für jede im Quartal Q2/2026 eingegangene Erstanfrage das Ergebnis des Konflikt-Checks (Bestandsmandanten-Abgleich, Parteiidentitätscheck, Interessenkonfliktprüfung). Die Prüfung ist Pflichtbestandteil des Aufnahmeprozesses und vor Erstberatungsbeginn abzuschließen.</w:t>
      </w:r>
    </w:p>
    <w:p>
      <w:pPr>
        <w:jc w:val="left"/>
      </w:pPr>
      <w:r>
        <w:t>Rechtsgrundlage Interessenkonflikt:</w:t>
      </w:r>
    </w:p>
    <w:p>
      <w:pPr>
        <w:pStyle w:val="ListBullet"/>
      </w:pPr>
      <w:r>
        <w:t>BORA § 3 Abs. 1: Verbot der Vertretung bei widerstreitenden Interessen in derselben Rechtssache.</w:t>
      </w:r>
    </w:p>
    <w:p>
      <w:pPr>
        <w:pStyle w:val="ListBullet"/>
      </w:pPr>
      <w:r>
        <w:t>BRAO § 43a Abs. 4: Verschwiegenheitspflicht; keine mandatsübergreifende Nutzung von Informationen.</w:t>
      </w:r>
    </w:p>
    <w:p>
      <w:pPr>
        <w:pStyle w:val="ListBullet"/>
      </w:pPr>
      <w:r>
        <w:t>CCBE-Verhaltensregeln Ziff. 3.2 (für grenzüberschreitende Mandate).</w:t>
      </w:r>
    </w:p>
    <w:p/>
    <w:p>
      <w:pPr>
        <w:pStyle w:val="Heading2"/>
      </w:pPr>
      <w:r>
        <w:rPr>
          <w:rFonts w:ascii="Times New Roman" w:hAnsi="Times New Roman"/>
        </w:rPr>
        <w:t>Prüfergebnis je Anfrage</w:t>
      </w:r>
    </w:p>
    <w:p>
      <w:pPr>
        <w:pStyle w:val="Heading3"/>
      </w:pPr>
      <w:r>
        <w:rPr>
          <w:rFonts w:ascii="Times New Roman" w:hAnsi="Times New Roman"/>
        </w:rPr>
        <w:t>RT-2026-Q2-0312 — Körber (Arbeitsrecht)</w:t>
      </w:r>
    </w:p>
    <w:p>
      <w:pPr>
        <w:jc w:val="left"/>
      </w:pPr>
      <w:r>
        <w:t>Prüfdatum: 03.04.2026 | Prüfer: RA Tannenfels</w:t>
      </w:r>
    </w:p>
    <w:p>
      <w:pPr>
        <w:jc w:val="left"/>
      </w:pPr>
      <w:r>
        <w:t>Gegner: Rheinland Logistik GmbH, Köln</w:t>
      </w:r>
    </w:p>
    <w:p>
      <w:pPr>
        <w:jc w:val="left"/>
      </w:pPr>
      <w:r>
        <w:t>Bestandsmandanten-Abgleich: negativ (Rheinland Logistik GmbH kein Mandant; keine verwandten Mandate)</w:t>
      </w:r>
    </w:p>
    <w:p>
      <w:pPr>
        <w:jc w:val="left"/>
      </w:pPr>
      <w:r>
        <w:t>Ergebnis: KEIN KONFLIKT — Mandat unbeschränkt übernahmefähig</w:t>
      </w:r>
    </w:p>
    <w:p>
      <w:pPr>
        <w:pStyle w:val="Heading3"/>
      </w:pPr>
      <w:r>
        <w:rPr>
          <w:rFonts w:ascii="Times New Roman" w:hAnsi="Times New Roman"/>
        </w:rPr>
        <w:t>RT-2026-Q2-0313 — Feldkamp (Mietrecht)</w:t>
      </w:r>
    </w:p>
    <w:p>
      <w:pPr>
        <w:jc w:val="left"/>
      </w:pPr>
      <w:r>
        <w:t>Prüfdatum: 07.04.2026 | Prüferin: RAin Pohlmann</w:t>
      </w:r>
    </w:p>
    <w:p>
      <w:pPr>
        <w:jc w:val="left"/>
      </w:pPr>
      <w:r>
        <w:t>Gegnerin (Vermieterin): Gisela Klausberg, Gürtelstraße 44, 50677 Köln</w:t>
      </w:r>
    </w:p>
    <w:p>
      <w:pPr>
        <w:jc w:val="left"/>
      </w:pPr>
      <w:r>
        <w:t>Bestandsmandanten-Abgleich: POSITIV — Klausberg, Gisela: aktives Mandat RT-2024-WEG-0077 (RAin Pohlmann)</w:t>
      </w:r>
    </w:p>
    <w:p>
      <w:pPr>
        <w:jc w:val="left"/>
      </w:pPr>
      <w:r>
        <w:t>Ergebnis: KONFLIKT — Ablehnung der Anfrage Feldkamp. BORA § 3 Abs. 1 einschlägig.</w:t>
      </w:r>
    </w:p>
    <w:p>
      <w:pPr>
        <w:jc w:val="left"/>
      </w:pPr>
      <w:r>
        <w:t>Ablehnung erfolgt: 07.04.2026 (noch am Eingangtag)</w:t>
      </w:r>
    </w:p>
    <w:p>
      <w:pPr>
        <w:jc w:val="left"/>
      </w:pPr>
      <w:r>
        <w:t>Mandantin Klausberg nicht informiert (Verschwiegenheit BRAO § 43a)</w:t>
      </w:r>
    </w:p>
    <w:p>
      <w:pPr>
        <w:pStyle w:val="Heading3"/>
      </w:pPr>
      <w:r>
        <w:rPr>
          <w:rFonts w:ascii="Times New Roman" w:hAnsi="Times New Roman"/>
        </w:rPr>
        <w:t>RT-2026-Q2-0314 — Pellbach (Erbrecht)</w:t>
      </w:r>
    </w:p>
    <w:p>
      <w:pPr>
        <w:jc w:val="left"/>
      </w:pPr>
      <w:r>
        <w:t>Prüfdatum: 14.04.2026 | Prüferin: Dr. Vellbruck</w:t>
      </w:r>
    </w:p>
    <w:p>
      <w:pPr>
        <w:jc w:val="left"/>
      </w:pPr>
      <w:r>
        <w:t>Gegner: Rainer Hoffrichter (Bruder der Mandantin)</w:t>
      </w:r>
    </w:p>
    <w:p>
      <w:pPr>
        <w:jc w:val="left"/>
      </w:pPr>
      <w:r>
        <w:t>Bestandsmandanten-Abgleich: negativ (Rainer Hoffrichter kein Mandant; sein Anwalt Dr. Kern ebenfalls kein Mandant)</w:t>
      </w:r>
    </w:p>
    <w:p>
      <w:pPr>
        <w:jc w:val="left"/>
      </w:pPr>
      <w:r>
        <w:t>Besonderheit: Empfehler Dr. Werner Pellbach ist Bestandsmandant (AZ RT-2022-GR-0144); kein Interessenwiderstreit (völlig anderer Rechtskreis — Gesellschaftsrecht vs. Erbrecht)</w:t>
      </w:r>
    </w:p>
    <w:p>
      <w:pPr>
        <w:jc w:val="left"/>
      </w:pPr>
      <w:r>
        <w:t>Ergebnis: KEIN KONFLIKT — Mandat übernahmefähig</w:t>
      </w:r>
    </w:p>
    <w:p>
      <w:pPr>
        <w:pStyle w:val="Heading3"/>
      </w:pPr>
      <w:r>
        <w:rPr>
          <w:rFonts w:ascii="Times New Roman" w:hAnsi="Times New Roman"/>
        </w:rPr>
        <w:t>RT-2026-Q2-0315 — Hagenbroich (Verkehrsrecht)</w:t>
      </w:r>
    </w:p>
    <w:p>
      <w:pPr>
        <w:jc w:val="left"/>
      </w:pPr>
      <w:r>
        <w:t>Prüfdatum: 22.04.2026 | Prüfer: RA Gehrmann</w:t>
      </w:r>
    </w:p>
    <w:p>
      <w:pPr>
        <w:jc w:val="left"/>
      </w:pPr>
      <w:r>
        <w:t>Gegner: unbekannte Person (flüchtiger Kfz-Führer; kein Name bekannt)</w:t>
      </w:r>
    </w:p>
    <w:p>
      <w:pPr>
        <w:jc w:val="left"/>
      </w:pPr>
      <w:r>
        <w:t>Bestandsmandanten-Abgleich: Prüfung mangels Gegneridentität nur eingeschränkt möglich</w:t>
      </w:r>
    </w:p>
    <w:p>
      <w:pPr>
        <w:jc w:val="left"/>
      </w:pPr>
      <w:r>
        <w:t>Ergebnis: KEIN KONFLIKT — Ablehnung aus wirtschaftlichen Gründen (kein Mandat)</w:t>
      </w:r>
    </w:p>
    <w:p>
      <w:pPr>
        <w:pStyle w:val="Heading3"/>
      </w:pPr>
      <w:r>
        <w:rPr>
          <w:rFonts w:ascii="Times New Roman" w:hAnsi="Times New Roman"/>
        </w:rPr>
        <w:t>RT-2026-Q2-0316 — Schwarzbach (Baurecht)</w:t>
      </w:r>
    </w:p>
    <w:p>
      <w:pPr>
        <w:jc w:val="left"/>
      </w:pPr>
      <w:r>
        <w:t>Prüfdatum: 05.05.2026 | Prüferin: RAin Orbach</w:t>
      </w:r>
    </w:p>
    <w:p>
      <w:pPr>
        <w:jc w:val="left"/>
      </w:pPr>
      <w:r>
        <w:t>Gegner: Ewald Brandtner, Nikolausstraße 6, Bergisch Gladbach</w:t>
      </w:r>
    </w:p>
    <w:p>
      <w:pPr>
        <w:jc w:val="left"/>
      </w:pPr>
      <w:r>
        <w:t>Bestandsmandanten-Abgleich: negativ (kein Mandant der Kanzlei)</w:t>
      </w:r>
    </w:p>
    <w:p>
      <w:pPr>
        <w:jc w:val="left"/>
      </w:pPr>
      <w:r>
        <w:t>Ergebnis: KEIN KONFLIKT — Mandat übernahmefähig</w:t>
      </w:r>
    </w:p>
    <w:p>
      <w:pPr>
        <w:pStyle w:val="Heading3"/>
      </w:pPr>
      <w:r>
        <w:rPr>
          <w:rFonts w:ascii="Times New Roman" w:hAnsi="Times New Roman"/>
        </w:rPr>
        <w:t>RT-2026-Q2-0317 — Tannenmoor GmbH (IT-Recht)</w:t>
      </w:r>
    </w:p>
    <w:p>
      <w:pPr>
        <w:jc w:val="left"/>
      </w:pPr>
      <w:r>
        <w:t>Prüfdatum: 19.05.2026 | Prüferin: RAin Orbach</w:t>
      </w:r>
    </w:p>
    <w:p>
      <w:pPr>
        <w:jc w:val="left"/>
      </w:pPr>
      <w:r>
        <w:t>Gegner: Franz Poremba (Privatkunde), RA Keiler (Hannover)</w:t>
      </w:r>
    </w:p>
    <w:p>
      <w:pPr>
        <w:jc w:val="left"/>
      </w:pPr>
      <w:r>
        <w:t>Bestandsmandanten-Abgleich: negativ</w:t>
      </w:r>
    </w:p>
    <w:p>
      <w:pPr>
        <w:jc w:val="left"/>
      </w:pPr>
      <w:r>
        <w:t>Ergebnis: KEIN KONFLIKT — Mandat übernahmefähig</w:t>
      </w:r>
    </w:p>
    <w:p>
      <w:pPr>
        <w:pStyle w:val="Heading3"/>
      </w:pPr>
      <w:r>
        <w:rPr>
          <w:rFonts w:ascii="Times New Roman" w:hAnsi="Times New Roman"/>
        </w:rPr>
        <w:t>RT-2026-Q2-0318 — Merkel/Köhn (Gesellschaftsrecht)</w:t>
      </w:r>
    </w:p>
    <w:p>
      <w:pPr>
        <w:jc w:val="left"/>
      </w:pPr>
      <w:r>
        <w:t>Prüfdatum: 02.06.2026 (Eingang) — Vollständige Prüfung VERSÄUMT vor Erstberatungsbeginn</w:t>
      </w:r>
    </w:p>
    <w:p>
      <w:pPr>
        <w:jc w:val="left"/>
      </w:pPr>
      <w:r>
        <w:t>Erster Prüfer: — (nicht dokumentiert; Mandatsbestätigung irrtümlich bereits versandt)</w:t>
      </w:r>
    </w:p>
    <w:p>
      <w:pPr>
        <w:jc w:val="left"/>
      </w:pPr>
      <w:r>
        <w:t>Feststellung Konflikt: 03.06.2026 während laufender Erstberatung durch Dr. Roosendaal</w:t>
      </w:r>
    </w:p>
    <w:p>
      <w:pPr>
        <w:jc w:val="left"/>
      </w:pPr>
      <w:r>
        <w:t>Gegner/Betroffener: Dipl.-Ing. Robert Köhn</w:t>
      </w:r>
    </w:p>
    <w:p>
      <w:pPr>
        <w:jc w:val="left"/>
      </w:pPr>
      <w:r>
        <w:t>Bestandsmandanten-Abgleich: POSITIV — Köhn, Robert: aktives Mandat RT-2023-GS-0207 (Dr. Roosendaal)</w:t>
      </w:r>
    </w:p>
    <w:p>
      <w:pPr>
        <w:jc w:val="left"/>
      </w:pPr>
      <w:r>
        <w:t>Ergebnis: KONFLIKT — Mandatsrücknahme 03.06.2026. BORA § 3 Abs. 1, BRAO § 43a.</w:t>
      </w:r>
    </w:p>
    <w:p>
      <w:pPr>
        <w:jc w:val="left"/>
      </w:pPr>
      <w:r>
        <w:t>Interne Maßnahme: Prozessänderung (Freigabeliste vor Mandatsbestätigung), vgl. Aktenstück 22.</w:t>
      </w:r>
    </w:p>
    <w:p>
      <w:pPr>
        <w:pStyle w:val="Heading3"/>
      </w:pPr>
      <w:r>
        <w:rPr>
          <w:rFonts w:ascii="Times New Roman" w:hAnsi="Times New Roman"/>
        </w:rPr>
        <w:t>RT-2026-Q2-0319 — Trambach (Arzthaftung)</w:t>
      </w:r>
    </w:p>
    <w:p>
      <w:pPr>
        <w:jc w:val="left"/>
      </w:pPr>
      <w:r>
        <w:t>Prüfdatum: 18.06.2026 | Prüferin: Dr. Vellbruck</w:t>
      </w:r>
    </w:p>
    <w:p>
      <w:pPr>
        <w:jc w:val="left"/>
      </w:pPr>
      <w:r>
        <w:t>Gegner: Klinikum Köln-Holweide (Körperschaft des öffentlichen Rechts)</w:t>
      </w:r>
    </w:p>
    <w:p>
      <w:pPr>
        <w:jc w:val="left"/>
      </w:pPr>
      <w:r>
        <w:t>Bestandsmandanten-Abgleich: negativ</w:t>
      </w:r>
    </w:p>
    <w:p>
      <w:pPr>
        <w:jc w:val="left"/>
      </w:pPr>
      <w:r>
        <w:t>Ergebnis: KEIN KONFLIKT — Weiterleitung aus Kompetenzgründen (kein Arzthaftungsrecht-Spezialist)</w:t>
      </w:r>
    </w:p>
    <w:p/>
    <w:p>
      <w:pPr>
        <w:pStyle w:val="Heading2"/>
      </w:pPr>
      <w:r>
        <w:rPr>
          <w:rFonts w:ascii="Times New Roman" w:hAnsi="Times New Roman"/>
        </w:rPr>
        <w:t>Zusammenfassung Konflikt-Check Q2/2026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Anfragen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Kein Konflikt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Konflikt festgestellt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Konflikt vor Beratung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Konflikt während Beratung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(Feldkamp)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(Merkel/Köhn)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Verbesserungsmaßnahmen</w:t>
      </w:r>
    </w:p>
    <w:p>
      <w:pPr>
        <w:pStyle w:val="ListNumber"/>
      </w:pPr>
      <w:r>
        <w:t>Konfliktcheck muss vor jeder Mandatsbestätigung abgeschlossen und schriftlich freigegeben sein.</w:t>
      </w:r>
    </w:p>
    <w:p>
      <w:pPr>
        <w:pStyle w:val="ListNumber"/>
      </w:pPr>
      <w:r>
        <w:t>Telefon-Erstanfrage: Name des Gegners ist bei der Annahme standardmäßig zu erfragen (neu: Checkliste Telefonzentrale ab 01.07.2026).</w:t>
      </w:r>
    </w:p>
    <w:p>
      <w:pPr>
        <w:pStyle w:val="ListNumber"/>
      </w:pPr>
      <w:r>
        <w:t>Advoware-Datenbankpflege: Quartalsweise Aktualisierung aller aktiven Mandanten-/Gegenerlisten durch RA-Fachangestellte.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