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Mandatsfähigkeit juristischer Personen — Prüfschema Q2/2026</w:t>
      </w:r>
    </w:p>
    <w:p>
      <w:pPr>
        <w:jc w:val="left"/>
      </w:pPr>
      <w:r>
        <w:t>Kanzlei: Roosendaal &amp; Tannenfels Rechtsanwälte PartmbB</w:t>
      </w:r>
    </w:p>
    <w:p>
      <w:pPr>
        <w:jc w:val="left"/>
      </w:pPr>
      <w:r>
        <w:t>Verfasst: RAin Sina Orbach | Stand: Mai 2026</w:t>
      </w:r>
    </w:p>
    <w:p>
      <w:pPr>
        <w:jc w:val="left"/>
      </w:pPr>
      <w:r>
        <w:t>Anlass: Eingang Anfrage Tannenmoor GmbH (RT-2026-Q2-0317); Standardisierungsbedarf</w:t>
      </w:r>
    </w:p>
    <w:p/>
    <w:p>
      <w:pPr>
        <w:pStyle w:val="Heading2"/>
      </w:pPr>
      <w:r>
        <w:rPr>
          <w:rFonts w:ascii="Times New Roman" w:hAnsi="Times New Roman"/>
        </w:rPr>
        <w:t>Hintergrund</w:t>
      </w:r>
    </w:p>
    <w:p>
      <w:pPr>
        <w:jc w:val="left"/>
      </w:pPr>
      <w:r>
        <w:t>Die Mandatsübernahme von juristischen Personen (GmbH, AG, GbR, PartmbB, Verein, Stiftung, KG, UG) erfordert neben dem Interessenkonflikt-Check eine gesonderte Prüfung der Mandatsfähigkeit, d.h. der Fähigkeit, durch einen Bevollmächtigten wirksam ein Mandat zu erteilen. Dies betrifft insbesondere:</w:t>
      </w:r>
    </w:p>
    <w:p>
      <w:pPr>
        <w:pStyle w:val="ListBullet"/>
      </w:pPr>
      <w:r>
        <w:t>Vertretungsberechtigung des Unterzeichners (Geschäftsführer, Vorstand, Gesellschafter)</w:t>
      </w:r>
    </w:p>
    <w:p>
      <w:pPr>
        <w:pStyle w:val="ListBullet"/>
      </w:pPr>
      <w:r>
        <w:t>Wirksamkeit der Vollmacht</w:t>
      </w:r>
    </w:p>
    <w:p>
      <w:pPr>
        <w:pStyle w:val="ListBullet"/>
      </w:pPr>
      <w:r>
        <w:t>Keine Insolvenz oder Liquidation, die die Vertretungsmacht beeinflusst</w:t>
      </w:r>
    </w:p>
    <w:p/>
    <w:p>
      <w:pPr>
        <w:pStyle w:val="Heading2"/>
      </w:pPr>
      <w:r>
        <w:rPr>
          <w:rFonts w:ascii="Times New Roman" w:hAnsi="Times New Roman"/>
        </w:rPr>
        <w:t>Prüfschema</w:t>
      </w:r>
    </w:p>
    <w:p>
      <w:pPr>
        <w:pStyle w:val="Heading3"/>
      </w:pPr>
      <w:r>
        <w:rPr>
          <w:rFonts w:ascii="Times New Roman" w:hAnsi="Times New Roman"/>
        </w:rPr>
        <w:t>Schritt 1: Rechtsformermittlung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Rechtsform</w:t>
            </w:r>
          </w:p>
        </w:tc>
        <w:tc>
          <w:tcPr>
            <w:tcW w:type="dxa" w:w="3024"/>
          </w:tcPr>
          <w:p>
            <w:r>
              <w:rPr>
                <w:rFonts w:ascii="Times New Roman" w:hAnsi="Times New Roman"/>
                <w:b/>
                <w:sz w:val="20"/>
              </w:rPr>
              <w:t>Vertretungsorgan</w:t>
            </w:r>
          </w:p>
        </w:tc>
        <w:tc>
          <w:tcPr>
            <w:tcW w:type="dxa" w:w="3024"/>
          </w:tcPr>
          <w:p>
            <w:r>
              <w:rPr>
                <w:rFonts w:ascii="Times New Roman" w:hAnsi="Times New Roman"/>
                <w:b/>
                <w:sz w:val="20"/>
              </w:rPr>
              <w:t>Nachweis</w:t>
            </w:r>
          </w:p>
        </w:tc>
      </w:tr>
      <w:tr>
        <w:tc>
          <w:tcPr>
            <w:tcW w:type="dxa" w:w="3024"/>
          </w:tcPr>
          <w:p>
            <w:r>
              <w:rPr>
                <w:rFonts w:ascii="Times New Roman" w:hAnsi="Times New Roman"/>
                <w:sz w:val="20"/>
              </w:rPr>
              <w:t>GmbH</w:t>
            </w:r>
          </w:p>
        </w:tc>
        <w:tc>
          <w:tcPr>
            <w:tcW w:type="dxa" w:w="3024"/>
          </w:tcPr>
          <w:p>
            <w:r>
              <w:rPr>
                <w:rFonts w:ascii="Times New Roman" w:hAnsi="Times New Roman"/>
                <w:sz w:val="20"/>
              </w:rPr>
              <w:t>Geschäftsführer (§ 35 GmbHG)</w:t>
            </w:r>
          </w:p>
        </w:tc>
        <w:tc>
          <w:tcPr>
            <w:tcW w:type="dxa" w:w="3024"/>
          </w:tcPr>
          <w:p>
            <w:r>
              <w:rPr>
                <w:rFonts w:ascii="Times New Roman" w:hAnsi="Times New Roman"/>
                <w:sz w:val="20"/>
              </w:rPr>
              <w:t>HR-Auszug, nicht älter als 3 Monate</w:t>
            </w:r>
          </w:p>
        </w:tc>
      </w:tr>
      <w:tr>
        <w:tc>
          <w:tcPr>
            <w:tcW w:type="dxa" w:w="3024"/>
          </w:tcPr>
          <w:p>
            <w:r>
              <w:rPr>
                <w:rFonts w:ascii="Times New Roman" w:hAnsi="Times New Roman"/>
                <w:sz w:val="20"/>
              </w:rPr>
              <w:t>AG</w:t>
            </w:r>
          </w:p>
        </w:tc>
        <w:tc>
          <w:tcPr>
            <w:tcW w:type="dxa" w:w="3024"/>
          </w:tcPr>
          <w:p>
            <w:r>
              <w:rPr>
                <w:rFonts w:ascii="Times New Roman" w:hAnsi="Times New Roman"/>
                <w:sz w:val="20"/>
              </w:rPr>
              <w:t>Vorstand (§ 78 AktG)</w:t>
            </w:r>
          </w:p>
        </w:tc>
        <w:tc>
          <w:tcPr>
            <w:tcW w:type="dxa" w:w="3024"/>
          </w:tcPr>
          <w:p>
            <w:r>
              <w:rPr>
                <w:rFonts w:ascii="Times New Roman" w:hAnsi="Times New Roman"/>
                <w:sz w:val="20"/>
              </w:rPr>
              <w:t>HR-Auszug</w:t>
            </w:r>
          </w:p>
        </w:tc>
      </w:tr>
      <w:tr>
        <w:tc>
          <w:tcPr>
            <w:tcW w:type="dxa" w:w="3024"/>
          </w:tcPr>
          <w:p>
            <w:r>
              <w:rPr>
                <w:rFonts w:ascii="Times New Roman" w:hAnsi="Times New Roman"/>
                <w:sz w:val="20"/>
              </w:rPr>
              <w:t>GbR</w:t>
            </w:r>
          </w:p>
        </w:tc>
        <w:tc>
          <w:tcPr>
            <w:tcW w:type="dxa" w:w="3024"/>
          </w:tcPr>
          <w:p>
            <w:r>
              <w:rPr>
                <w:rFonts w:ascii="Times New Roman" w:hAnsi="Times New Roman"/>
                <w:sz w:val="20"/>
              </w:rPr>
              <w:t>Alle Gesellschafter gemeinsam oder bevollmächtigter GS (§ 714 BGB)</w:t>
            </w:r>
          </w:p>
        </w:tc>
        <w:tc>
          <w:tcPr>
            <w:tcW w:type="dxa" w:w="3024"/>
          </w:tcPr>
          <w:p>
            <w:r>
              <w:rPr>
                <w:rFonts w:ascii="Times New Roman" w:hAnsi="Times New Roman"/>
                <w:sz w:val="20"/>
              </w:rPr>
              <w:t>Gesellschaftsvertrag, ggf. Vollmacht der übrigen GS</w:t>
            </w:r>
          </w:p>
        </w:tc>
      </w:tr>
      <w:tr>
        <w:tc>
          <w:tcPr>
            <w:tcW w:type="dxa" w:w="3024"/>
          </w:tcPr>
          <w:p>
            <w:r>
              <w:rPr>
                <w:rFonts w:ascii="Times New Roman" w:hAnsi="Times New Roman"/>
                <w:sz w:val="20"/>
              </w:rPr>
              <w:t>KG</w:t>
            </w:r>
          </w:p>
        </w:tc>
        <w:tc>
          <w:tcPr>
            <w:tcW w:type="dxa" w:w="3024"/>
          </w:tcPr>
          <w:p>
            <w:r>
              <w:rPr>
                <w:rFonts w:ascii="Times New Roman" w:hAnsi="Times New Roman"/>
                <w:sz w:val="20"/>
              </w:rPr>
              <w:t>Komplementär (§ 161 Abs. 2 i.V.m. § 125 HGB)</w:t>
            </w:r>
          </w:p>
        </w:tc>
        <w:tc>
          <w:tcPr>
            <w:tcW w:type="dxa" w:w="3024"/>
          </w:tcPr>
          <w:p>
            <w:r>
              <w:rPr>
                <w:rFonts w:ascii="Times New Roman" w:hAnsi="Times New Roman"/>
                <w:sz w:val="20"/>
              </w:rPr>
              <w:t>HR-Auszug</w:t>
            </w:r>
          </w:p>
        </w:tc>
      </w:tr>
      <w:tr>
        <w:tc>
          <w:tcPr>
            <w:tcW w:type="dxa" w:w="3024"/>
          </w:tcPr>
          <w:p>
            <w:r>
              <w:rPr>
                <w:rFonts w:ascii="Times New Roman" w:hAnsi="Times New Roman"/>
                <w:sz w:val="20"/>
              </w:rPr>
              <w:t>PartmbB</w:t>
            </w:r>
          </w:p>
        </w:tc>
        <w:tc>
          <w:tcPr>
            <w:tcW w:type="dxa" w:w="3024"/>
          </w:tcPr>
          <w:p>
            <w:r>
              <w:rPr>
                <w:rFonts w:ascii="Times New Roman" w:hAnsi="Times New Roman"/>
                <w:sz w:val="20"/>
              </w:rPr>
              <w:t>Managing Partner / alle Partner je nach Satzung</w:t>
            </w:r>
          </w:p>
        </w:tc>
        <w:tc>
          <w:tcPr>
            <w:tcW w:type="dxa" w:w="3024"/>
          </w:tcPr>
          <w:p>
            <w:r>
              <w:rPr>
                <w:rFonts w:ascii="Times New Roman" w:hAnsi="Times New Roman"/>
                <w:sz w:val="20"/>
              </w:rPr>
              <w:t>Partnerschaftsregister-Auszug</w:t>
            </w:r>
          </w:p>
        </w:tc>
      </w:tr>
      <w:tr>
        <w:tc>
          <w:tcPr>
            <w:tcW w:type="dxa" w:w="3024"/>
          </w:tcPr>
          <w:p>
            <w:r>
              <w:rPr>
                <w:rFonts w:ascii="Times New Roman" w:hAnsi="Times New Roman"/>
                <w:sz w:val="20"/>
              </w:rPr>
              <w:t>e.V.</w:t>
            </w:r>
          </w:p>
        </w:tc>
        <w:tc>
          <w:tcPr>
            <w:tcW w:type="dxa" w:w="3024"/>
          </w:tcPr>
          <w:p>
            <w:r>
              <w:rPr>
                <w:rFonts w:ascii="Times New Roman" w:hAnsi="Times New Roman"/>
                <w:sz w:val="20"/>
              </w:rPr>
              <w:t>Vorstand (§ 26 BGB)</w:t>
            </w:r>
          </w:p>
        </w:tc>
        <w:tc>
          <w:tcPr>
            <w:tcW w:type="dxa" w:w="3024"/>
          </w:tcPr>
          <w:p>
            <w:r>
              <w:rPr>
                <w:rFonts w:ascii="Times New Roman" w:hAnsi="Times New Roman"/>
                <w:sz w:val="20"/>
              </w:rPr>
              <w:t>Vereinsregister-Auszug</w:t>
            </w:r>
          </w:p>
        </w:tc>
      </w:tr>
    </w:tbl>
    <w:p>
      <w:pPr>
        <w:pStyle w:val="Heading3"/>
      </w:pPr>
      <w:r>
        <w:rPr>
          <w:rFonts w:ascii="Times New Roman" w:hAnsi="Times New Roman"/>
        </w:rPr>
        <w:t>Schritt 2: Aktueller HR-Auszug anfordern</w:t>
      </w:r>
    </w:p>
    <w:p>
      <w:pPr>
        <w:jc w:val="left"/>
      </w:pPr>
      <w:r>
        <w:t>HR-Auszug (Handelsregister) über www.handelsregister.de oder www.unternehmensregister.de. Muss nicht älter als 3 Monate sein. Kostenpflichtig (ca. 4,50 EUR/Abruf). Eintrag in Handakte.</w:t>
      </w:r>
    </w:p>
    <w:p>
      <w:pPr>
        <w:pStyle w:val="Heading3"/>
      </w:pPr>
      <w:r>
        <w:rPr>
          <w:rFonts w:ascii="Times New Roman" w:hAnsi="Times New Roman"/>
        </w:rPr>
        <w:t>Schritt 3: Vertretungsmacht prüfen</w:t>
      </w:r>
    </w:p>
    <w:p>
      <w:pPr>
        <w:pStyle w:val="ListBullet"/>
      </w:pPr>
      <w:r>
        <w:t>Alleinvertretungsberechtigung oder Gesamtvertretung?</w:t>
      </w:r>
    </w:p>
    <w:p>
      <w:pPr>
        <w:pStyle w:val="ListBullet"/>
      </w:pPr>
      <w:r>
        <w:t>Beschränkungen (z.B. Zustimmung Aufsichtsrat, Gesellschafterversammlung bei Prozessführung)?</w:t>
      </w:r>
    </w:p>
    <w:p>
      <w:pPr>
        <w:pStyle w:val="ListBullet"/>
      </w:pPr>
      <w:r>
        <w:t>Etwaige Prokura (§§ 48 ff. HGB)?</w:t>
      </w:r>
    </w:p>
    <w:p>
      <w:pPr>
        <w:pStyle w:val="Heading3"/>
      </w:pPr>
      <w:r>
        <w:rPr>
          <w:rFonts w:ascii="Times New Roman" w:hAnsi="Times New Roman"/>
        </w:rPr>
        <w:t>Schritt 4: Insolvenzcheck</w:t>
      </w:r>
    </w:p>
    <w:p>
      <w:pPr>
        <w:jc w:val="left"/>
      </w:pPr>
      <w:r>
        <w:t>Abfrage beim Insolvenzportal www.insolvenzbekanntmachungen.de. Eintragung = Vertretungsmacht geht auf Insolvenzverwalter über.</w:t>
      </w:r>
    </w:p>
    <w:p>
      <w:pPr>
        <w:pStyle w:val="Heading3"/>
      </w:pPr>
      <w:r>
        <w:rPr>
          <w:rFonts w:ascii="Times New Roman" w:hAnsi="Times New Roman"/>
        </w:rPr>
        <w:t>Schritt 5: Vollmacht unterzeichnen lassen</w:t>
      </w:r>
    </w:p>
    <w:p>
      <w:pPr>
        <w:jc w:val="left"/>
      </w:pPr>
      <w:r>
        <w:t>Vollmacht muss von der vertretungsberechtigten Person eigenhändig unterzeichnet sein. Bei Gesamtvertretung: alle Vertretungsberechtigten müssen unterzeichnen.</w:t>
      </w:r>
    </w:p>
    <w:p/>
    <w:p>
      <w:pPr>
        <w:pStyle w:val="Heading2"/>
      </w:pPr>
      <w:r>
        <w:rPr>
          <w:rFonts w:ascii="Times New Roman" w:hAnsi="Times New Roman"/>
        </w:rPr>
        <w:t>Angewendete Fälle Q2/2026</w:t>
      </w:r>
    </w:p>
    <w:p>
      <w:pPr>
        <w:pStyle w:val="Heading3"/>
      </w:pPr>
      <w:r>
        <w:rPr>
          <w:rFonts w:ascii="Times New Roman" w:hAnsi="Times New Roman"/>
        </w:rPr>
        <w:t>Tannenmoor GmbH (RT-2026-Q2-0317)</w:t>
      </w:r>
    </w:p>
    <w:p>
      <w:pPr>
        <w:pStyle w:val="ListBullet"/>
      </w:pPr>
      <w:r>
        <w:t>Rechtsform: GmbH (HRB 103847, AG Köln)</w:t>
      </w:r>
    </w:p>
    <w:p>
      <w:pPr>
        <w:pStyle w:val="ListBullet"/>
      </w:pPr>
      <w:r>
        <w:t>HR-Auszug abgerufen: 20.05.2026 — Geschäftsführer Oliver Wendeborn, alleinvertretungsberechtigt, eingetragen seit 15.03.2019</w:t>
      </w:r>
    </w:p>
    <w:p>
      <w:pPr>
        <w:pStyle w:val="ListBullet"/>
      </w:pPr>
      <w:r>
        <w:t>Insolvenzcheck: negativ (kein Verfahren eingetragen)</w:t>
      </w:r>
    </w:p>
    <w:p>
      <w:pPr>
        <w:pStyle w:val="ListBullet"/>
      </w:pPr>
      <w:r>
        <w:t>Vollmacht: unterzeichnet von Oliver Wendeborn, 22.05.2026</w:t>
      </w:r>
    </w:p>
    <w:p>
      <w:pPr>
        <w:jc w:val="left"/>
      </w:pPr>
      <w:r>
        <w:t>Besonderheit: Gesellschaftsvertrag der Tannenmoor GmbH enthält unter § 8 eine Klausel, wonach für Rechtsstreitigkeiten über 50.000 EUR ein Gesellschafterbeschluss erforderlich ist. Da der hier gegenständliche Streitwert (ca. 312 EUR) weit darunter liegt, ist der alleinige Geschäftsführer vertretungsberechtigt. Für die ggf. folgende AGB-Überarbeitung (kein Rechtsstreit) ebenfalls kein Gesellschafterbeschluss erforderlich.</w:t>
      </w:r>
    </w:p>
    <w:p/>
    <w:p>
      <w:pPr>
        <w:pStyle w:val="Heading2"/>
      </w:pPr>
      <w:r>
        <w:rPr>
          <w:rFonts w:ascii="Times New Roman" w:hAnsi="Times New Roman"/>
        </w:rPr>
        <w:t>Sonderfall: GbR-Mandate</w:t>
      </w:r>
    </w:p>
    <w:p>
      <w:pPr>
        <w:jc w:val="left"/>
      </w:pPr>
      <w:r>
        <w:t>Die GbR (nach altem Recht § 714 BGB, nach neuem MoPeG § 720 BGB ab 01.01.2024) kann durch jeden geschäftsführungsbefugten Gesellschafter vertreten werden, sofern der Gesellschaftsvertrag keine abweichende Regelung enthält. Bei Unklarheiten: alle Gesellschafter als Vollmachtgeber.</w:t>
      </w:r>
    </w:p>
    <w:p>
      <w:pPr>
        <w:jc w:val="left"/>
      </w:pPr>
      <w:r>
        <w:t>Praxishinweis: Merkel &amp; Köhn Architektur GbR (Anfrage-07, RT-2026-Q2-0318) war eine GbR; Dr. Merkel wäre als Gesellschafterin grundsätzlich zur Bevollmächtigung befugt gewesen, jedoch war das Mandat wegen Konflikt ohnehin nicht übernahmebereit.</w:t>
      </w:r>
    </w:p>
    <w:p/>
    <w:p>
      <w:pPr>
        <w:pStyle w:val="Heading2"/>
      </w:pPr>
      <w:r>
        <w:rPr>
          <w:rFonts w:ascii="Times New Roman" w:hAnsi="Times New Roman"/>
        </w:rPr>
        <w:t>Dokumentationspflichten</w:t>
      </w:r>
    </w:p>
    <w:p>
      <w:pPr>
        <w:jc w:val="left"/>
      </w:pPr>
      <w:r>
        <w:t>Alle Unterlagen (HR-Auszug, Vollmacht, Insolvenzcheck-Protokoll) sind in der Handakte zu heften. Bei digitaler Akte: Upload in Advoware unter Dokumententyp "Vollmacht/Mandatsdokument".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Roosendaal &amp; Tannenfels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ROOSENDAAL &amp; TANNENFELS RECHTSANWÄLTE</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