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Quartalsabschluss-Vermerk Q2/2026</w:t>
      </w:r>
    </w:p>
    <w:p>
      <w:pPr>
        <w:jc w:val="left"/>
      </w:pPr>
      <w:r>
        <w:t>Kanzlei: Roosendaal &amp; Tannenfels Rechtsanwälte PartmbB</w:t>
      </w:r>
    </w:p>
    <w:p>
      <w:pPr>
        <w:jc w:val="left"/>
      </w:pPr>
      <w:r>
        <w:t>Datum: 03.07.2026</w:t>
      </w:r>
    </w:p>
    <w:p>
      <w:pPr>
        <w:jc w:val="left"/>
      </w:pPr>
      <w:r>
        <w:t>Verfasser: Dr. Falk Roosendaal (Managing Partner)</w:t>
      </w:r>
    </w:p>
    <w:p>
      <w:pPr>
        <w:jc w:val="left"/>
      </w:pPr>
      <w:r>
        <w:t>Verteiler: Alle RA (intern); Kanzleiverwaltung</w:t>
      </w:r>
    </w:p>
    <w:p/>
    <w:p>
      <w:pPr>
        <w:pStyle w:val="Heading2"/>
      </w:pPr>
      <w:r>
        <w:rPr>
          <w:rFonts w:ascii="Times New Roman" w:hAnsi="Times New Roman"/>
        </w:rPr>
        <w:t>I. Gesamtbilanz Erstanfragen Q2/2026</w:t>
      </w:r>
    </w:p>
    <w:p>
      <w:pPr>
        <w:jc w:val="left"/>
      </w:pPr>
      <w:r>
        <w:t>Das zweite Quartal 2026 war für die Abteilung Erstanfragen geprägt von einem Volumenwachstum (+33 % gegenüber Q1/2026: 8 vs. 6 Erstanfragen), einer weiterhin stabilen Annahmequote (50 %) und zwei qualitativ bedeutsamen Incidents, die Prozessanpassungen ausgelöst haben.</w:t>
      </w:r>
    </w:p>
    <w:p>
      <w:pPr>
        <w:pStyle w:val="Heading3"/>
      </w:pPr>
      <w:r>
        <w:rPr>
          <w:rFonts w:ascii="Times New Roman" w:hAnsi="Times New Roman"/>
        </w:rPr>
        <w:t>Mandate in Kürze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Körber (Kündigung)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ArbG Köln eingereicht, Az. 7 Ca 1243/26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Tannenfels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Feldkamp (Mietrecht)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Abgelehnt — Konflikt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Pellbach (Erbrecht)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Erbscheinsantrag in Vorbereitung; Honorarstreit 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Hagenbroich (VerkehrsR)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Abgelehnt — Streitwert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Gehrmann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Schwarzbach (Baurecht)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Schreiben an Bauordnungsamt und Gegner versandt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Orbach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Tannenmoor GmbH (IT)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Hauptsache erledigt; AGB-Mandat 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Orbach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Merkel/Köhn (GesellR)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Abgelehnt — Konflikt; Mandatsrücknahme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Trambach (Arzthaftung)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Weitergeleitet an Meinhardt &amp; 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Qualitätsereignisse und Lessons Learned</w:t>
      </w:r>
    </w:p>
    <w:p>
      <w:pPr>
        <w:pStyle w:val="Heading3"/>
      </w:pPr>
      <w:r>
        <w:rPr>
          <w:rFonts w:ascii="Times New Roman" w:hAnsi="Times New Roman"/>
        </w:rPr>
        <w:t>Incident 1: Mandatsbestätigung Merkel/Köhn vor Konfliktcheck (RT-2026-Q2-0318)</w:t>
      </w:r>
    </w:p>
    <w:p>
      <w:pPr>
        <w:jc w:val="left"/>
      </w:pPr>
      <w:r>
        <w:rPr>
          <w:b/>
        </w:rPr>
        <w:t>Was ist passiert:</w:t>
      </w:r>
      <w:r>
        <w:t xml:space="preserve"> Die Sekretärin versandte eine Mandatsbestätigung an Dr. Merkel, bevor der Konfliktcheck vollständig abgeschlossen war. Dr. Roosendaal stellte den Konflikt erst in der Erstberatung fest (10 Minuten nach Beginn).</w:t>
      </w:r>
    </w:p>
    <w:p>
      <w:pPr>
        <w:jc w:val="left"/>
      </w:pPr>
      <w:r>
        <w:rPr>
          <w:b/>
        </w:rPr>
        <w:t>Konsequenzen:</w:t>
      </w:r>
      <w:r>
        <w:t xml:space="preserve"> Mandatsbestätigung musste widerrufen werden; Dr. Merkel wurde mündlich und schriftlich informiert. Kein inhaltlicher Schaden; keine Haftungsexposition, da keine Rechtsauskunft erteilt wurde.</w:t>
      </w:r>
    </w:p>
    <w:p>
      <w:pPr>
        <w:jc w:val="left"/>
      </w:pPr>
      <w:r>
        <w:rPr>
          <w:b/>
        </w:rPr>
        <w:t>Maßnahme:</w:t>
      </w:r>
      <w:r>
        <w:t xml:space="preserve"> Ab 01.07.2026 gilt: Mandatsbestätigung darf erst nach schriftlicher Freigabe durch den zuständigen RA versandt werden. Freigabe-Stempel im Advoware-System.</w:t>
      </w:r>
    </w:p>
    <w:p>
      <w:pPr>
        <w:pStyle w:val="Heading3"/>
      </w:pPr>
      <w:r>
        <w:rPr>
          <w:rFonts w:ascii="Times New Roman" w:hAnsi="Times New Roman"/>
        </w:rPr>
        <w:t>Incident 2: Honorarvereinbarung nicht schriftlich vor Erstberatung (RT-2026-Q2-0314)</w:t>
      </w:r>
    </w:p>
    <w:p>
      <w:pPr>
        <w:jc w:val="left"/>
      </w:pPr>
      <w:r>
        <w:rPr>
          <w:b/>
        </w:rPr>
        <w:t>Was ist passiert:</w:t>
      </w:r>
      <w:r>
        <w:t xml:space="preserve"> Dr. Vellbruck erläuterte mündlich ein Zeithonorar; die schriftliche Vereinbarung wurde nicht unmittelbar unterzeichnet. Mandantin bestreitet nachträglich die Absprache.</w:t>
      </w:r>
    </w:p>
    <w:p>
      <w:pPr>
        <w:jc w:val="left"/>
      </w:pPr>
      <w:r>
        <w:rPr>
          <w:b/>
        </w:rPr>
        <w:t>Konsequenzen:</w:t>
      </w:r>
      <w:r>
        <w:t xml:space="preserve"> Abrechnung muss vorläufig nach RVG erfolgen; Mehr-Honorar durch Zeithonorar kann nicht sicher durchgesetzt werden. Reputationsschaden (Feedback-Bewertung 3,25/5).</w:t>
      </w:r>
    </w:p>
    <w:p>
      <w:pPr>
        <w:jc w:val="left"/>
      </w:pPr>
      <w:r>
        <w:rPr>
          <w:b/>
        </w:rPr>
        <w:t>Maßnahme:</w:t>
      </w:r>
      <w:r>
        <w:t xml:space="preserve"> Honorarvereinbarung ist Pflichtpunkt auf der Erstberatungs-Checkliste; Unterzeichnung vor Beginn der inhaltlichen Beratung.</w:t>
      </w:r>
    </w:p>
    <w:p>
      <w:pPr>
        <w:pStyle w:val="Heading3"/>
      </w:pPr>
      <w:r>
        <w:rPr>
          <w:rFonts w:ascii="Times New Roman" w:hAnsi="Times New Roman"/>
        </w:rPr>
        <w:t>Incident 3: DSGVO-Webformular (roosendaal-tannenfels.de)</w:t>
      </w:r>
    </w:p>
    <w:p>
      <w:pPr>
        <w:jc w:val="left"/>
      </w:pPr>
      <w:r>
        <w:rPr>
          <w:b/>
        </w:rPr>
        <w:t>Was ist passiert:</w:t>
      </w:r>
      <w:r>
        <w:t xml:space="preserve"> RAin Orbach stellte fest, dass das eigene Kontaktformular keinen vollständigen Art.-13-Datenschutzhinweis enthielt.</w:t>
      </w:r>
    </w:p>
    <w:p>
      <w:pPr>
        <w:jc w:val="left"/>
      </w:pPr>
      <w:r>
        <w:rPr>
          <w:b/>
        </w:rPr>
        <w:t>Konsequenzen:</w:t>
      </w:r>
      <w:r>
        <w:t xml:space="preserve"> Keine aufsichtsbehördliche Meldung oder Beschwerde; kein Schaden. Präventive Korrektur.</w:t>
      </w:r>
    </w:p>
    <w:p>
      <w:pPr>
        <w:jc w:val="left"/>
      </w:pPr>
      <w:r>
        <w:rPr>
          <w:b/>
        </w:rPr>
        <w:t>Maßnahme:</w:t>
      </w:r>
      <w:r>
        <w:t xml:space="preserve"> Webformular überarbeitet; Art.-13-Datenschutzhinweis direkt im Formularfeld; abgeschlossen 28.06.2026.</w:t>
      </w:r>
    </w:p>
    <w:p/>
    <w:p>
      <w:pPr>
        <w:pStyle w:val="Heading2"/>
      </w:pPr>
      <w:r>
        <w:rPr>
          <w:rFonts w:ascii="Times New Roman" w:hAnsi="Times New Roman"/>
        </w:rPr>
        <w:t>III. Offene Punkte Q3/2026</w:t>
      </w:r>
    </w:p>
    <w:p>
      <w:pPr>
        <w:pStyle w:val="ListNumber"/>
      </w:pPr>
      <w:r>
        <w:t>Honorarstreit Pellbach (RT-2026-Q2-0314): Klärung ausstehend (Rücklauf unterzeichnete Honorarvereinbarung erwartet).</w:t>
      </w:r>
    </w:p>
    <w:p>
      <w:pPr>
        <w:pStyle w:val="ListNumber"/>
      </w:pPr>
      <w:r>
        <w:t>AGB-Mandat Tannenmoor GmbH (RT-2026-Q2-0317a): in Bearbeitung; Abschluss KW 30/2026 geplant.</w:t>
      </w:r>
    </w:p>
    <w:p>
      <w:pPr>
        <w:pStyle w:val="ListNumber"/>
      </w:pPr>
      <w:r>
        <w:t>Baurecht Schwarzbach (RT-2026-Q2-0316): Reaktion Bauordnungsamt erwartet; ggf. Klage September 2026.</w:t>
      </w:r>
    </w:p>
    <w:p>
      <w:pPr>
        <w:pStyle w:val="ListNumber"/>
      </w:pPr>
      <w:r>
        <w:t>Kündigungsschutz Körber (RT-2026-Q2-0312): Gütetermin ArbG Köln noch nicht terminiert; Kanzlei wartet auf Ladung.</w:t>
      </w:r>
    </w:p>
    <w:p>
      <w:pPr>
        <w:pStyle w:val="ListNumber"/>
      </w:pPr>
      <w:r>
        <w:t>Konfliktcheck-Tool Advoware: Aktivierung geplant bis 01.08.2026.</w:t>
      </w:r>
    </w:p>
    <w:p/>
    <w:p>
      <w:pPr>
        <w:pStyle w:val="Heading2"/>
      </w:pPr>
      <w:r>
        <w:rPr>
          <w:rFonts w:ascii="Times New Roman" w:hAnsi="Times New Roman"/>
        </w:rPr>
        <w:t>IV. Quartalsbewertung</w:t>
      </w:r>
    </w:p>
    <w:p>
      <w:pPr>
        <w:jc w:val="left"/>
      </w:pPr>
      <w:r>
        <w:t>Die Kanzlei hat in Q2/2026 ihren Aufnahmeprozess im Wesentlichen ordnungsgemäß durchgeführt. Zwei Incidents haben gezeigt, dass Prozessverbesserungen notwendig sind; diese wurden identifiziert und eingeleitet. Die Mandate im Bereich Baurecht (Schwarzbach) und IT/AGB (Tannenmoor GmbH) zeigen ein wachsendes Anfragevolumen in Spezialgebieten, das mittelfristig zusätzliche Personalkapazität erfordert.</w:t>
      </w:r>
    </w:p>
    <w:p>
      <w:pPr>
        <w:jc w:val="left"/>
      </w:pPr>
      <w:r>
        <w:t>Nächstes Quartalstreffen Mandatsaufnahme: 08.07.2026, 09:00 Uhr, Konferenzraum 2.</w:t>
      </w:r>
    </w:p>
    <w:p>
      <w:pPr>
        <w:jc w:val="left"/>
      </w:pPr>
      <w:r>
        <w:t>Dr. Falk Roosendaal</w:t>
      </w:r>
    </w:p>
    <w:p>
      <w:pPr>
        <w:jc w:val="left"/>
      </w:pPr>
      <w:r>
        <w:t>Managing Partner, Roosendaal &amp; Tannenfels Rechtsanwälte PartmbB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&amp; Tannenfels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ROOSENDAAL &amp; TANNENFELS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