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Mandatsrahmen und Outside Counsel Guidelines</w:t>
      </w:r>
    </w:p>
    <w:p>
      <w:pPr>
        <w:pStyle w:val="Heading2"/>
      </w:pPr>
      <w:r>
        <w:rPr>
          <w:rFonts w:ascii="Times New Roman" w:hAnsi="Times New Roman"/>
        </w:rPr>
        <w:t>Scope laut Mandatsbestätigung vom 04.04.2026</w:t>
      </w:r>
    </w:p>
    <w:p>
      <w:pPr>
        <w:pStyle w:val="ListBullet"/>
      </w:pPr>
      <w:r>
        <w:t>Prüfung und Durchsetzung vertraglicher Ansprüche gegen MedVector Supply AG.</w:t>
      </w:r>
    </w:p>
    <w:p>
      <w:pPr>
        <w:pStyle w:val="ListBullet"/>
      </w:pPr>
      <w:r>
        <w:t>Regulatory-Risikoeinschätzung zu ATMP-Vektorkomponenten nur als Nebenfrage.</w:t>
      </w:r>
    </w:p>
    <w:p>
      <w:pPr>
        <w:pStyle w:val="ListBullet"/>
      </w:pPr>
      <w:r>
        <w:t>Entwurf und Einreichung eines Eilrechtsschutzantrags, wenn taktisch sinnvoll.</w:t>
      </w:r>
    </w:p>
    <w:p>
      <w:pPr>
        <w:pStyle w:val="ListBullet"/>
      </w:pPr>
      <w:r>
        <w:t>Wöchentlicher Statusbericht jeweils Donnerstag 12:00 Uhr.</w:t>
      </w:r>
    </w:p>
    <w:p>
      <w:pPr>
        <w:pStyle w:val="ListBullet"/>
      </w:pPr>
      <w:r>
        <w:t>Budget Cap Phase 1: 180.000 EUR netto, Reforecast ab 75 % Budgetverbrauch.</w:t>
      </w:r>
    </w:p>
    <w:p>
      <w:pPr>
        <w:pStyle w:val="Heading2"/>
      </w:pPr>
      <w:r>
        <w:rPr>
          <w:rFonts w:ascii="Times New Roman" w:hAnsi="Times New Roman"/>
        </w:rPr>
        <w:t>OCG-Auszug Nordstern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Staffing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Partnerzeit nur für Strategie, Verhandlung, Freigabe; Associate-Arbeit soweit möglich.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Billing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Blockbilling-Einträge über 2,5 Stunden ohne Untergliederung.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Travel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Reisezeit nur 50 %, wenn nicht produktiv genutzt.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External Experts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Vorherige schriftliche Freigabe durch Legal und Procurement.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Reporting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Jede Woche Budget-to-Actual, nächste 14 Tage, Risiken, benötigte Mandantenentscheidung.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AI/Tools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Mandatsdaten in externe KI-Systeme ohne Freigabe Legal/IT-Security.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Reibungspunkt</w:t>
      </w:r>
    </w:p>
    <w:p>
      <w:pPr>
        <w:jc w:val="left"/>
      </w:pPr>
      <w:r>
        <w:t>Die Kanzlei hat für das technische Vektoren-Memo 18,7 Stunden Partner-/Counsel-Zeit gebucht. Die Rechtsabteilung hält das für Regulatory Work außerhalb Scope. Die Kanzlei sagt, ohne dieses Memo sei die Glaubhaftmachung im Eilverfahren nicht seriös gewesen.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MedVector Supply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MedVector Supply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