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Gerichtsfahrplan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Schritt</w:t>
            </w:r>
          </w:p>
        </w:tc>
        <w:tc>
          <w:tcPr>
            <w:tcW w:type="dxa" w:w="2268"/>
          </w:tcPr>
          <w:p>
            <w:r>
              <w:rPr>
                <w:rFonts w:ascii="Times New Roman" w:hAnsi="Times New Roman"/>
                <w:b/>
                <w:sz w:val="20"/>
              </w:rPr>
              <w:t>Zieltermin</w:t>
            </w:r>
          </w:p>
        </w:tc>
        <w:tc>
          <w:tcPr>
            <w:tcW w:type="dxa" w:w="2268"/>
          </w:tcPr>
          <w:p>
            <w:r>
              <w:rPr>
                <w:rFonts w:ascii="Times New Roman" w:hAnsi="Times New Roman"/>
                <w:b/>
                <w:sz w:val="20"/>
              </w:rPr>
              <w:t>Risiko</w:t>
            </w:r>
          </w:p>
        </w:tc>
        <w:tc>
          <w:tcPr>
            <w:tcW w:type="dxa" w:w="2268"/>
          </w:tcPr>
          <w:p>
            <w:r>
              <w:rPr>
                <w:rFonts w:ascii="Times New Roman" w:hAnsi="Times New Roman"/>
                <w:b/>
                <w:sz w:val="20"/>
              </w:rPr>
              <w:t>Unterlagen</w:t>
            </w:r>
          </w:p>
        </w:tc>
      </w:tr>
      <w:tr>
        <w:tc>
          <w:tcPr>
            <w:tcW w:type="dxa" w:w="2268"/>
          </w:tcPr>
          <w:p>
            <w:r>
              <w:rPr>
                <w:rFonts w:ascii="Times New Roman" w:hAnsi="Times New Roman"/>
                <w:sz w:val="20"/>
              </w:rPr>
              <w:t>Dringlichkeitsvermerk final</w:t>
            </w:r>
          </w:p>
        </w:tc>
        <w:tc>
          <w:tcPr>
            <w:tcW w:type="dxa" w:w="2268"/>
          </w:tcPr>
          <w:p>
            <w:r>
              <w:rPr>
                <w:rFonts w:ascii="Times New Roman" w:hAnsi="Times New Roman"/>
                <w:sz w:val="20"/>
              </w:rPr>
              <w:t>04.06.2026</w:t>
            </w:r>
          </w:p>
        </w:tc>
        <w:tc>
          <w:tcPr>
            <w:tcW w:type="dxa" w:w="2268"/>
          </w:tcPr>
          <w:p>
            <w:r>
              <w:rPr>
                <w:rFonts w:ascii="Times New Roman" w:hAnsi="Times New Roman"/>
                <w:sz w:val="20"/>
              </w:rPr>
              <w:t>Hoch</w:t>
            </w:r>
          </w:p>
        </w:tc>
        <w:tc>
          <w:tcPr>
            <w:tcW w:type="dxa" w:w="2268"/>
          </w:tcPr>
          <w:p>
            <w:r>
              <w:rPr>
                <w:rFonts w:ascii="Times New Roman" w:hAnsi="Times New Roman"/>
                <w:sz w:val="20"/>
              </w:rPr>
              <w:t>Timeline Fachbereich, E-Mails 12.03.-28.04.</w:t>
            </w:r>
          </w:p>
        </w:tc>
      </w:tr>
      <w:tr>
        <w:tc>
          <w:tcPr>
            <w:tcW w:type="dxa" w:w="2268"/>
          </w:tcPr>
          <w:p>
            <w:r>
              <w:rPr>
                <w:rFonts w:ascii="Times New Roman" w:hAnsi="Times New Roman"/>
                <w:sz w:val="20"/>
              </w:rPr>
              <w:t>Eidesstattliche Versicherung Hellfeld</w:t>
            </w:r>
          </w:p>
        </w:tc>
        <w:tc>
          <w:tcPr>
            <w:tcW w:type="dxa" w:w="2268"/>
          </w:tcPr>
          <w:p>
            <w:r>
              <w:rPr>
                <w:rFonts w:ascii="Times New Roman" w:hAnsi="Times New Roman"/>
                <w:sz w:val="20"/>
              </w:rPr>
              <w:t>04.06.2026</w:t>
            </w:r>
          </w:p>
        </w:tc>
        <w:tc>
          <w:tcPr>
            <w:tcW w:type="dxa" w:w="2268"/>
          </w:tcPr>
          <w:p>
            <w:r>
              <w:rPr>
                <w:rFonts w:ascii="Times New Roman" w:hAnsi="Times New Roman"/>
                <w:sz w:val="20"/>
              </w:rPr>
              <w:t>Mittel</w:t>
            </w:r>
          </w:p>
        </w:tc>
        <w:tc>
          <w:tcPr>
            <w:tcW w:type="dxa" w:w="2268"/>
          </w:tcPr>
          <w:p>
            <w:r>
              <w:rPr>
                <w:rFonts w:ascii="Times New Roman" w:hAnsi="Times New Roman"/>
                <w:sz w:val="20"/>
              </w:rPr>
              <w:t>Entwurf liegt vor, Freigabe fehlt</w:t>
            </w:r>
          </w:p>
        </w:tc>
      </w:tr>
      <w:tr>
        <w:tc>
          <w:tcPr>
            <w:tcW w:type="dxa" w:w="2268"/>
          </w:tcPr>
          <w:p>
            <w:r>
              <w:rPr>
                <w:rFonts w:ascii="Times New Roman" w:hAnsi="Times New Roman"/>
                <w:sz w:val="20"/>
              </w:rPr>
              <w:t>Anlagen K1-K18 paginieren</w:t>
            </w:r>
          </w:p>
        </w:tc>
        <w:tc>
          <w:tcPr>
            <w:tcW w:type="dxa" w:w="2268"/>
          </w:tcPr>
          <w:p>
            <w:r>
              <w:rPr>
                <w:rFonts w:ascii="Times New Roman" w:hAnsi="Times New Roman"/>
                <w:sz w:val="20"/>
              </w:rPr>
              <w:t>05.06.2026</w:t>
            </w:r>
          </w:p>
        </w:tc>
        <w:tc>
          <w:tcPr>
            <w:tcW w:type="dxa" w:w="2268"/>
          </w:tcPr>
          <w:p>
            <w:r>
              <w:rPr>
                <w:rFonts w:ascii="Times New Roman" w:hAnsi="Times New Roman"/>
                <w:sz w:val="20"/>
              </w:rPr>
              <w:t>Niedrig</w:t>
            </w:r>
          </w:p>
        </w:tc>
        <w:tc>
          <w:tcPr>
            <w:tcW w:type="dxa" w:w="2268"/>
          </w:tcPr>
          <w:p>
            <w:r>
              <w:rPr>
                <w:rFonts w:ascii="Times New Roman" w:hAnsi="Times New Roman"/>
                <w:sz w:val="20"/>
              </w:rPr>
              <w:t>K7 Laborlog muss geschwärzt werden</w:t>
            </w:r>
          </w:p>
        </w:tc>
      </w:tr>
      <w:tr>
        <w:tc>
          <w:tcPr>
            <w:tcW w:type="dxa" w:w="2268"/>
          </w:tcPr>
          <w:p>
            <w:r>
              <w:rPr>
                <w:rFonts w:ascii="Times New Roman" w:hAnsi="Times New Roman"/>
                <w:sz w:val="20"/>
              </w:rPr>
              <w:t>Eilantrag einreichen</w:t>
            </w:r>
          </w:p>
        </w:tc>
        <w:tc>
          <w:tcPr>
            <w:tcW w:type="dxa" w:w="2268"/>
          </w:tcPr>
          <w:p>
            <w:r>
              <w:rPr>
                <w:rFonts w:ascii="Times New Roman" w:hAnsi="Times New Roman"/>
                <w:sz w:val="20"/>
              </w:rPr>
              <w:t>06.06.2026</w:t>
            </w:r>
          </w:p>
        </w:tc>
        <w:tc>
          <w:tcPr>
            <w:tcW w:type="dxa" w:w="2268"/>
          </w:tcPr>
          <w:p>
            <w:r>
              <w:rPr>
                <w:rFonts w:ascii="Times New Roman" w:hAnsi="Times New Roman"/>
                <w:sz w:val="20"/>
              </w:rPr>
              <w:t>Hoch</w:t>
            </w:r>
          </w:p>
        </w:tc>
        <w:tc>
          <w:tcPr>
            <w:tcW w:type="dxa" w:w="2268"/>
          </w:tcPr>
          <w:p>
            <w:r>
              <w:rPr>
                <w:rFonts w:ascii="Times New Roman" w:hAnsi="Times New Roman"/>
                <w:sz w:val="20"/>
              </w:rPr>
              <w:t>Partnerfreigabe, Mandantenfreigabe, Kostenvorschuss</w:t>
            </w:r>
          </w:p>
        </w:tc>
      </w:tr>
      <w:tr>
        <w:tc>
          <w:tcPr>
            <w:tcW w:type="dxa" w:w="2268"/>
          </w:tcPr>
          <w:p>
            <w:r>
              <w:rPr>
                <w:rFonts w:ascii="Times New Roman" w:hAnsi="Times New Roman"/>
                <w:sz w:val="20"/>
              </w:rPr>
              <w:t>Schutzschriftprüfung Gegner</w:t>
            </w:r>
          </w:p>
        </w:tc>
        <w:tc>
          <w:tcPr>
            <w:tcW w:type="dxa" w:w="2268"/>
          </w:tcPr>
          <w:p>
            <w:r>
              <w:rPr>
                <w:rFonts w:ascii="Times New Roman" w:hAnsi="Times New Roman"/>
                <w:sz w:val="20"/>
              </w:rPr>
              <w:t>laufend</w:t>
            </w:r>
          </w:p>
        </w:tc>
        <w:tc>
          <w:tcPr>
            <w:tcW w:type="dxa" w:w="2268"/>
          </w:tcPr>
          <w:p>
            <w:r>
              <w:rPr>
                <w:rFonts w:ascii="Times New Roman" w:hAnsi="Times New Roman"/>
                <w:sz w:val="20"/>
              </w:rPr>
              <w:t>Mittel</w:t>
            </w:r>
          </w:p>
        </w:tc>
        <w:tc>
          <w:tcPr>
            <w:tcW w:type="dxa" w:w="2268"/>
          </w:tcPr>
          <w:p>
            <w:r>
              <w:rPr>
                <w:rFonts w:ascii="Times New Roman" w:hAnsi="Times New Roman"/>
                <w:sz w:val="20"/>
              </w:rPr>
              <w:t>Registercheck</w:t>
            </w:r>
          </w:p>
        </w:tc>
      </w:tr>
      <w:tr>
        <w:tc>
          <w:tcPr>
            <w:tcW w:type="dxa" w:w="2268"/>
          </w:tcPr>
          <w:p>
            <w:r>
              <w:rPr>
                <w:rFonts w:ascii="Times New Roman" w:hAnsi="Times New Roman"/>
                <w:sz w:val="20"/>
              </w:rPr>
              <w:t>Vergleichsangebot</w:t>
            </w:r>
          </w:p>
        </w:tc>
        <w:tc>
          <w:tcPr>
            <w:tcW w:type="dxa" w:w="2268"/>
          </w:tcPr>
          <w:p>
            <w:r>
              <w:rPr>
                <w:rFonts w:ascii="Times New Roman" w:hAnsi="Times New Roman"/>
                <w:sz w:val="20"/>
              </w:rPr>
              <w:t>nach Antrag oder parallel</w:t>
            </w:r>
          </w:p>
        </w:tc>
        <w:tc>
          <w:tcPr>
            <w:tcW w:type="dxa" w:w="2268"/>
          </w:tcPr>
          <w:p>
            <w:r>
              <w:rPr>
                <w:rFonts w:ascii="Times New Roman" w:hAnsi="Times New Roman"/>
                <w:sz w:val="20"/>
              </w:rPr>
              <w:t>Mittel</w:t>
            </w:r>
          </w:p>
        </w:tc>
        <w:tc>
          <w:tcPr>
            <w:tcW w:type="dxa" w:w="2268"/>
          </w:tcPr>
          <w:p>
            <w:r>
              <w:rPr>
                <w:rFonts w:ascii="Times New Roman" w:hAnsi="Times New Roman"/>
                <w:sz w:val="20"/>
              </w:rPr>
              <w:t>Board-Freigabe</w:t>
            </w:r>
          </w:p>
        </w:tc>
      </w:tr>
    </w:tbl>
    <w:p>
      <w:pPr>
        <w:pStyle w:val="Heading2"/>
      </w:pPr>
      <w:r>
        <w:rPr>
          <w:rFonts w:ascii="Times New Roman" w:hAnsi="Times New Roman"/>
        </w:rPr>
        <w:t>Taktische Notiz</w:t>
      </w:r>
    </w:p>
    <w:p>
      <w:pPr>
        <w:jc w:val="left"/>
      </w:pPr>
      <w:r>
        <w:t>Die Kanzlei empfiehlt, den Antrag nicht als reinen Zahlungsstreit zu framen. Der Fokus soll auf Proben, technischen Spezifikationen, Auditrecht und Verhinderung weiterer Materialverwendung liegen. Das passt besser zum Geschäftsziel und wirkt weniger wie nachgeschobene Eskalation wegen eines Budgetstreits.</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Gerichtsfahrplan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Gerichtsfahrplan</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