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Kostennote_Steinacker_Lichtenberg_26-Q1-014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Kostennote Q1-2026</w:t>
      </w:r>
    </w:p>
    <w:p>
      <w:pPr>
        <w:pStyle w:val="Heading3"/>
      </w:pPr>
      <w:r>
        <w:rPr>
          <w:rFonts w:ascii="Times New Roman" w:hAnsi="Times New Roman"/>
        </w:rPr>
        <w:t>STEINACKER LICHTENBERG &amp; PARTNERS IP BOUTIQUE</w:t>
      </w:r>
    </w:p>
    <w:p>
      <w:pPr>
        <w:jc w:val="left"/>
      </w:pPr>
      <w:r>
        <w:t>_Maximiliansplatz 19 · 80333 München · IBAN DE07 7011 6678 0044 2117 12_</w:t>
      </w:r>
    </w:p>
    <w:p>
      <w:pPr>
        <w:jc w:val="left"/>
      </w:pPr>
      <w:r>
        <w:t>_KOSTENNOTE Nr. 26-Q1-014/A_</w:t>
      </w:r>
    </w:p>
    <w:p>
      <w:pPr>
        <w:jc w:val="left"/>
      </w:pPr>
      <w:r>
        <w:t>_Zwischenrechnung — Quartal I/2026, Phase eV LG Frankfurt_</w:t>
      </w:r>
    </w:p>
    <w:p>
      <w:pPr>
        <w:jc w:val="left"/>
      </w:pPr>
      <w:r>
        <w:t>_Az. 2-03 O 412/26 — klôtzzkètté S.A. ./. Brezelmann Discount KG + Donauzon Marketplace GmbH_</w:t>
      </w:r>
    </w:p>
    <w:p>
      <w:pPr>
        <w:jc w:val="left"/>
      </w:pPr>
      <w:r>
        <w:t>_Empfängerin: klôtzzkètté S.A., z.Hd. Comtesse Béatrice de Klôtzzkètté-Visconti, 12 rue du Faubourg Saint-Honoré, 75008 Paris_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Datum: 30. April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Fällig: sofort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Pos.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Tatbestand / RVG-Nr.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Faktor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Streitwert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Betrag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USt. 19%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Geschäftsgebühr (Nr. 2300 VV-RVG) — Vorabprüfung und Abmahnung&lt;br&gt;Brezelmann/Donauzon; erhöhter Faktor wegen Umfang und Schwierigkeit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1,8×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21.844,80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Verfahrensgebühr einstweilige Verfügung LG Frankfurt&lt;br&gt;(Nr. 3100 VV-RVG)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1,3×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15.776,80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Terminsgebühr (Nr. 3104 VV-RVG) — mündliche Verhandlung&lt;br&gt;11.06.2026 (vorgemerkt)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1,2×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14.563,20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Sachverständigen-Akquisition: Prof. Dr. Tastenberger (TU Darmstadt),&lt;br&gt;Mlle Périgord (Grasse), Spürnase-Couture GmbH — pauschal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Auslagenpauschale (Nr. 7002 VV-RVG) — Pauschbetrag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Schreibauslagen, Telekommunikation, DHL-Express&lt;br&gt;Capri/Milano/Alicante/Frankfurt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1.244,17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Reisekosten Dr. Steinacker + Frhr. von Brenkenhoff:&lt;br&gt;MUC↔FRA (4 Termine); MUC↔FCO Milano (1 Termin)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4.882,40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Übersetzungen IT→DE (Beschlagnahmeprotokoll Tribunale Firenze,&lt;br&gt;GV-Protokoll Sartori)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2.114,90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EUIPO-Amtsgebühren (Widerspruch B 4 187 932, 5 Klassen)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DPMA-Anmeldegebühren (Kl. 30 2026 102 887 + 102 888 Haptikmarken)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Koordination Whitman Brennan Forsythe LLP NYC&lt;br&gt;(Konferenzgebühren, 3 transatlantische Abstimmungscalls à 1,5h)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3.150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Pinkerton-Auftrag NYC (Anteil — Vorschuss)&lt;br&gt;File PCI-NY-2026-08827-K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4.500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NETTO-GESAMT (ohne USt.)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zzgl. Umsatzsteuer 19 %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RECHNUNGSBETRAG GESAMT (inkl. 19 % USt.)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Zahlungsziel: 14 Tage nach Rechnungsdatum · IBAN: DE07 7011 6678 0044 2117 12 · BIC: HYVEDEMMXXX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Verwendungszweck: WBF-2026-KK-0014 / Sch-Lich 26-0188 / Kostennote 26-Q1-014/A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Zeitaufwand Stunden</w:t>
      </w:r>
    </w:p>
    <w:p>
      <w:pPr>
        <w:pStyle w:val="Heading3"/>
      </w:pPr>
      <w:r>
        <w:rPr>
          <w:rFonts w:ascii="Times New Roman" w:hAnsi="Times New Roman"/>
        </w:rPr>
        <w:t>ZEITAUFWANDSÜBERSICHT — Quartal I/2026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Bearbeiter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Std.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Stundensatz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Erstkontakt Telefonat (MEZ 10:42), Aktenvermerk, Mandantsannahme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Vollmacht prüfen, Widerspruchsfrist EUIPO kalkulieren, Kurier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Konferenz Whitman III NYC (MEZ 16:00), Koordinationsprotokoll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17.01.–20.01.26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Beauftragung Spürnase-Couture GmbH, Briefing, Überwachungsprotokoll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v. Brenkenhoff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Abmahnung verfassen (8 S.) + Anlage K 3 (Unterlassungserklärung)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Analyse Fax Brezelmann, Strategievermerk, Telef. Comtesse (2×)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EUIPO Widerspruchsschrift B 4 187 932 (14 S.)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11.02.–18.02.26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Haptikmarken-Memo, Auftrag Prof. Tastenberger, Sachverständigenkoord.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v. Brenkenhoff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Antragsschrift eV LG Frankfurt (24 S.), Koordination GV Florenz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Anlagen vorbereiten K1–K7, Duplikate, Einreichung beA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v. Brenkenhoff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Begleitung Vollziehung Pitti Uomo (Florenz — Dienstreise)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v. Brenkenhoff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Fax-Notiz Comtesse (Capri, 23:47 MEZ), Besprechungsnotiz Mandantin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0.5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Transatlantische E-Mail-Kette Whitman III (22:48 MEZ), Folgetelefonate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Dr. Steinacker-von Tarsis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690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Kostennote erstellen, Prüfung, Mandantenabrechnung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v. Brenkenhoff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 STUNDENAUFWAND Q1/2026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Brezelmann Discount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Brezelmann Discount KG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Az. 2-03 O 412/26 — klôtzzkètté S.A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