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Schutzrechtsportfolio Leichtenstein Gartenkultur Manufaktur GmbH</w:t>
      </w:r>
    </w:p>
    <w:p>
      <w:pPr>
        <w:jc w:val="left"/>
      </w:pPr>
      <w:r>
        <w:rPr>
          <w:b/>
        </w:rPr>
        <w:t>Bearbeiter:</w:t>
      </w:r>
      <w:r>
        <w:t xml:space="preserve"> PA Dr. Volkmar Trautmann</w:t>
      </w:r>
    </w:p>
    <w:p>
      <w:pPr>
        <w:jc w:val="left"/>
      </w:pPr>
      <w:r>
        <w:rPr>
          <w:b/>
        </w:rPr>
        <w:t>Datum:</w:t>
      </w:r>
      <w:r>
        <w:t xml:space="preserve"> 16. April 2026</w:t>
      </w:r>
    </w:p>
    <w:p>
      <w:pPr>
        <w:jc w:val="left"/>
      </w:pPr>
      <w:r>
        <w:rPr>
          <w:b/>
        </w:rPr>
        <w:t>Verfahren:</w:t>
      </w:r>
      <w:r>
        <w:t xml:space="preserve"> Intern / Mandatsakte</w:t>
      </w:r>
    </w:p>
    <w:p/>
    <w:p>
      <w:pPr>
        <w:pStyle w:val="Heading2"/>
      </w:pPr>
      <w:r>
        <w:rPr>
          <w:rFonts w:ascii="Times New Roman" w:hAnsi="Times New Roman"/>
        </w:rPr>
        <w:t>1. Übersicht der gewerblichen Schutzrechte</w:t>
      </w:r>
    </w:p>
    <w:p>
      <w:pPr>
        <w:jc w:val="left"/>
      </w:pPr>
      <w:r>
        <w:t>Das Schutzrechtsportfolio der Leichtenstein Gartenkultur Manufaktur GmbH umfasst derzeit vier eingetragene Rechte in Deutschland und auf EU-Ebene. Hinzu kommt ein angemeldetes Gebrauchsmuster, das sich noch im Prüfverfahren befindet.</w:t>
      </w:r>
    </w:p>
    <w:p>
      <w:pPr>
        <w:pStyle w:val="Heading3"/>
      </w:pPr>
      <w:r>
        <w:rPr>
          <w:rFonts w:ascii="Times New Roman" w:hAnsi="Times New Roman"/>
        </w:rPr>
        <w:t>1.1 EU-3D-Marke EUIPO Nr. 018 977 412</w:t>
      </w:r>
    </w:p>
    <w:p>
      <w:pPr>
        <w:jc w:val="left"/>
      </w:pPr>
      <w:r>
        <w:rPr>
          <w:b/>
        </w:rPr>
        <w:t>Art der Marke:</w:t>
      </w:r>
      <w:r>
        <w:t xml:space="preserve"> Dreidimensionale Marke (Formmarke)</w:t>
      </w:r>
    </w:p>
    <w:p>
      <w:pPr>
        <w:jc w:val="left"/>
      </w:pPr>
      <w:r>
        <w:rPr>
          <w:b/>
        </w:rPr>
        <w:t>Eingetragen:</w:t>
      </w:r>
      <w:r>
        <w:t xml:space="preserve"> 22. Juni 2019</w:t>
      </w:r>
    </w:p>
    <w:p>
      <w:pPr>
        <w:jc w:val="left"/>
      </w:pPr>
      <w:r>
        <w:rPr>
          <w:b/>
        </w:rPr>
        <w:t>Inhaber:</w:t>
      </w:r>
      <w:r>
        <w:t xml:space="preserve"> Leichtenstein Gartenkultur Manufaktur GmbH</w:t>
      </w:r>
    </w:p>
    <w:p>
      <w:pPr>
        <w:jc w:val="left"/>
      </w:pPr>
      <w:r>
        <w:rPr>
          <w:b/>
        </w:rPr>
        <w:t>Vertreter beim EUIPO:</w:t>
      </w:r>
      <w:r>
        <w:t xml:space="preserve"> PA Dr. Volkmar Trautmann &amp; Coll., Mannheim</w:t>
      </w:r>
    </w:p>
    <w:p>
      <w:pPr>
        <w:jc w:val="left"/>
      </w:pPr>
      <w:r>
        <w:rPr>
          <w:b/>
        </w:rPr>
        <w:t>Waren/Dienstleistungen:</w:t>
      </w:r>
    </w:p>
    <w:p>
      <w:pPr>
        <w:pStyle w:val="ListBullet"/>
      </w:pPr>
      <w:r>
        <w:t>Klasse 20: Dekorationsgegenstände; kunstgewerbliche Waren aus Metall; Ziergegenstände für Innen- und Außenbereiche</w:t>
      </w:r>
    </w:p>
    <w:p>
      <w:pPr>
        <w:pStyle w:val="ListBullet"/>
      </w:pPr>
      <w:r>
        <w:t>Klasse 27: Dekorative Gegenstände für Gärten, Parks und Außenanlagen</w:t>
      </w:r>
    </w:p>
    <w:p>
      <w:pPr>
        <w:jc w:val="left"/>
      </w:pPr>
      <w:r>
        <w:rPr>
          <w:b/>
        </w:rPr>
        <w:t>Beschreibung der Marke:</w:t>
      </w:r>
      <w:r>
        <w:t xml:space="preserve"> Die Marke besteht aus der dreidimensionalen Gestaltung einer gusseisernen Rosenbluete in geöffnetem Zustand. Die Blüte weist 15 Blütenblätter in zwei übereinander angeordneten Lagen auf; die äußere Lage umfasst acht Blütenblätter, die innere sieben. Der Gesamtdurchmesser des Blütenkopfes beträgt 18,5 cm. Ein geschwungener Stielschaft (S-Form, Länge 42 cm) mit einer naturalistisch gestalteten Blattattrappe auf halber Höhe vervollständigt das Erscheinungsbild. Die Oberfläche weist eine charakteristische Patinierung in Schwarz-Anthrazit auf.</w:t>
      </w:r>
    </w:p>
    <w:p>
      <w:pPr>
        <w:jc w:val="left"/>
      </w:pPr>
      <w:r>
        <w:rPr>
          <w:b/>
        </w:rPr>
        <w:t>Aktueller Status:</w:t>
      </w:r>
      <w:r>
        <w:t xml:space="preserve"> Eingetragen; Nichtigkeitsantrag Bouqart Italia S.r.l. zunächst durch Nichtigkeitsabteilung EUIPO zurückgewiesen (Beschluss vom 08. Januar 2026); Beschwerde Bouqart beim Board of Appeal eingelegt, Az. R 1322/26-2. Schriftsatz-Frist für Mandantin: 15. Juli 2026.</w:t>
      </w:r>
    </w:p>
    <w:p>
      <w:pPr>
        <w:jc w:val="left"/>
      </w:pPr>
      <w:r>
        <w:rPr>
          <w:b/>
        </w:rPr>
        <w:t>Rechtliche Einschätzung:</w:t>
      </w:r>
      <w:r>
        <w:t xml:space="preserve"> 3D-Marken unterliegen nach ständiger EUIPO- und EuGH-Praxis erhöhten Anforderungen an die Unterscheidungskraft. Entscheidend ist, dass die Form nicht ausschließlich durch die Art der Ware bedingt ist (Art. 7 Abs. 1 lit. e UMV) und dass der Verkehr in der konkreten Form einen Herkunftshinweis sieht. Die eingetragene Rosenbluete weist stilistische Eigenheiten auf (S-Schaft, charakteristische Blattattrappe, spezifische Blütenblattanordnung), die über das Übliche im Segment hinausgehen. Gutachterlicher Nachweis der Verkehrsgeltung wird empfohlen (vgl. Aktenstück 17).</w:t>
      </w:r>
    </w:p>
    <w:p>
      <w:pPr>
        <w:pStyle w:val="Heading3"/>
      </w:pPr>
      <w:r>
        <w:rPr>
          <w:rFonts w:ascii="Times New Roman" w:hAnsi="Times New Roman"/>
        </w:rPr>
        <w:t>1.2 EU-Geschmacksmuster Community Design 008 412 661-0001</w:t>
      </w:r>
    </w:p>
    <w:p>
      <w:pPr>
        <w:jc w:val="left"/>
      </w:pPr>
      <w:r>
        <w:rPr>
          <w:b/>
        </w:rPr>
        <w:t>Art des Schutzrechts:</w:t>
      </w:r>
      <w:r>
        <w:t xml:space="preserve"> Eingetragenes EU-Geschmacksmuster</w:t>
      </w:r>
    </w:p>
    <w:p>
      <w:pPr>
        <w:jc w:val="left"/>
      </w:pPr>
      <w:r>
        <w:rPr>
          <w:b/>
        </w:rPr>
        <w:t>Eingetragen:</w:t>
      </w:r>
      <w:r>
        <w:t xml:space="preserve"> 15. März 2018</w:t>
      </w:r>
    </w:p>
    <w:p>
      <w:pPr>
        <w:jc w:val="left"/>
      </w:pPr>
      <w:r>
        <w:rPr>
          <w:b/>
        </w:rPr>
        <w:t>Schutzdauer:</w:t>
      </w:r>
      <w:r>
        <w:t xml:space="preserve"> Fünf Jahre ab Eintragung, verlängerbar bis 25 Jahre insgesamt</w:t>
      </w:r>
    </w:p>
    <w:p>
      <w:pPr>
        <w:jc w:val="left"/>
      </w:pPr>
      <w:r>
        <w:rPr>
          <w:b/>
        </w:rPr>
        <w:t>Aktuell verlängert bis:</w:t>
      </w:r>
      <w:r>
        <w:t xml:space="preserve"> 15. März 2028</w:t>
      </w:r>
    </w:p>
    <w:p>
      <w:pPr>
        <w:jc w:val="left"/>
      </w:pPr>
      <w:r>
        <w:rPr>
          <w:b/>
        </w:rPr>
        <w:t>Erzeugnis:</w:t>
      </w:r>
      <w:r>
        <w:t xml:space="preserve"> Gartendekoration (Klasse 11-01 Locarno-Klassifikation)</w:t>
      </w:r>
    </w:p>
    <w:p>
      <w:pPr>
        <w:jc w:val="left"/>
      </w:pPr>
      <w:r>
        <w:rPr>
          <w:b/>
        </w:rPr>
        <w:t>Inhalt des Musters:</w:t>
      </w:r>
      <w:r>
        <w:t xml:space="preserve"> Das Geschmacksmuster schützt das Erscheinungsbild der Rosenbluete in der Draufsicht, der Seitenansicht und der Schrägansicht. Sieben Ansichten wurden beim EUIPO eingereicht (vgl. Anlage B-1: Ablichtungen der Eintragungsunterlagen).</w:t>
      </w:r>
    </w:p>
    <w:p>
      <w:pPr>
        <w:jc w:val="left"/>
      </w:pPr>
      <w:r>
        <w:rPr>
          <w:b/>
        </w:rPr>
        <w:t>Aktueller Status:</w:t>
      </w:r>
      <w:r>
        <w:t xml:space="preserve"> Eingetragen; Neuheit wird von Bouqart Italia S.r.l. unter Verweis auf einen Vintage-Katalog der Gießerei Lefèvre &amp; Cie. aus dem Jahr 1962 bestritten. Entsprechendes Nichtigkeitsverfahren beim EUIPO anhängig. Der Katalog befindet sich als Kopie in den Akten (vgl. Aktenstück 11).</w:t>
      </w:r>
    </w:p>
    <w:p>
      <w:pPr>
        <w:jc w:val="left"/>
      </w:pPr>
      <w:r>
        <w:rPr>
          <w:b/>
        </w:rPr>
        <w:t>Rechtliche Einschätzung:</w:t>
      </w:r>
      <w:r>
        <w:t xml:space="preserve"> Neuheit nach Art. 5 GGV setzt voraus, dass dem einschlägigen Fachkreis kein identisches Muster vor dem Eintragungsdatum bekannt war. Ein Katalog aus dem Jahr 1962 ist grundsätzlich neuheitsschädlich, sofern er öffentlich zugänglich war und das dargestellte Erzeugnis hinreichend mit dem eingetragenen Muster übereinstimmt. Gutachterliche Stellungnahme eines Kunsthistorikers/Designhistorikers wurde in Auftrag gegeben.</w:t>
      </w:r>
    </w:p>
    <w:p>
      <w:pPr>
        <w:pStyle w:val="Heading3"/>
      </w:pPr>
      <w:r>
        <w:rPr>
          <w:rFonts w:ascii="Times New Roman" w:hAnsi="Times New Roman"/>
        </w:rPr>
        <w:t>1.3 Deutsche Marke DPMA 30 2026 011 442</w:t>
      </w:r>
    </w:p>
    <w:p>
      <w:pPr>
        <w:jc w:val="left"/>
      </w:pPr>
      <w:r>
        <w:rPr>
          <w:b/>
        </w:rPr>
        <w:t>Art der Marke:</w:t>
      </w:r>
      <w:r>
        <w:t xml:space="preserve"> Bildmarke (Grafische Darstellung der Rosenbluete)</w:t>
      </w:r>
    </w:p>
    <w:p>
      <w:pPr>
        <w:jc w:val="left"/>
      </w:pPr>
      <w:r>
        <w:rPr>
          <w:b/>
        </w:rPr>
        <w:t>Angemeldet:</w:t>
      </w:r>
      <w:r>
        <w:t xml:space="preserve"> 05. Januar 2026</w:t>
      </w:r>
    </w:p>
    <w:p>
      <w:pPr>
        <w:jc w:val="left"/>
      </w:pPr>
      <w:r>
        <w:rPr>
          <w:b/>
        </w:rPr>
        <w:t>Eingetragen:</w:t>
      </w:r>
      <w:r>
        <w:t xml:space="preserve"> 08. März 2026 (nach Ablauf der Widerspruchsfrist ohne Widerspruch)</w:t>
      </w:r>
    </w:p>
    <w:p>
      <w:pPr>
        <w:jc w:val="left"/>
      </w:pPr>
      <w:r>
        <w:rPr>
          <w:b/>
        </w:rPr>
        <w:t>Waren/Dienstleistungen:</w:t>
      </w:r>
      <w:r>
        <w:t xml:space="preserve"> Klasse 20 (Dekorationsgegenstände), Klasse 27 (Gartendekorationen), Klasse 35 (Onlinehandelsdienstleistungen für Gartendeko)</w:t>
      </w:r>
    </w:p>
    <w:p>
      <w:pPr>
        <w:jc w:val="left"/>
      </w:pPr>
      <w:r>
        <w:rPr>
          <w:b/>
        </w:rPr>
        <w:t>Funktion:</w:t>
      </w:r>
      <w:r>
        <w:t xml:space="preserve"> Nationale Ergänzung zur EU-3D-Marke; eigenständiger Schutz für Deutschland, insbesondere relevant wenn EU-3D-Marke im Nichtigkeitsverfahren gefährdet sein sollte.</w:t>
      </w:r>
    </w:p>
    <w:p>
      <w:pPr>
        <w:pStyle w:val="Heading3"/>
      </w:pPr>
      <w:r>
        <w:rPr>
          <w:rFonts w:ascii="Times New Roman" w:hAnsi="Times New Roman"/>
        </w:rPr>
        <w:t>1.4 Deutsche Wortmarke DPMA 30 2018 044 781</w:t>
      </w:r>
    </w:p>
    <w:p>
      <w:pPr>
        <w:jc w:val="left"/>
      </w:pPr>
      <w:r>
        <w:rPr>
          <w:b/>
        </w:rPr>
        <w:t>Art der Marke:</w:t>
      </w:r>
      <w:r>
        <w:t xml:space="preserve"> Wortmarke „Leichtenstein Rosenbluete"</w:t>
      </w:r>
    </w:p>
    <w:p>
      <w:pPr>
        <w:jc w:val="left"/>
      </w:pPr>
      <w:r>
        <w:rPr>
          <w:b/>
        </w:rPr>
        <w:t>Eingetragen:</w:t>
      </w:r>
      <w:r>
        <w:t xml:space="preserve"> 11. April 2018 (Verlängerung 2028 fällig)</w:t>
      </w:r>
    </w:p>
    <w:p>
      <w:pPr>
        <w:jc w:val="left"/>
      </w:pPr>
      <w:r>
        <w:rPr>
          <w:b/>
        </w:rPr>
        <w:t>Waren/Dienstleistungen:</w:t>
      </w:r>
      <w:r>
        <w:t xml:space="preserve"> Klasse 20, Klasse 27</w:t>
      </w:r>
    </w:p>
    <w:p>
      <w:pPr>
        <w:jc w:val="left"/>
      </w:pPr>
      <w:r>
        <w:rPr>
          <w:b/>
        </w:rPr>
        <w:t>Funktion:</w:t>
      </w:r>
      <w:r>
        <w:t xml:space="preserve"> Firmenbezogene Wortmarke; relevant für Abmahnungen bei Nutzung des Namens ohne Genehmigung; ergänzt den Formmarkenschutz.</w:t>
      </w:r>
    </w:p>
    <w:p>
      <w:pPr>
        <w:pStyle w:val="Heading3"/>
      </w:pPr>
      <w:r>
        <w:rPr>
          <w:rFonts w:ascii="Times New Roman" w:hAnsi="Times New Roman"/>
        </w:rPr>
        <w:t>1.5 Angemeldetes Gebrauchsmuster (in Prüfung)</w:t>
      </w:r>
    </w:p>
    <w:p>
      <w:pPr>
        <w:jc w:val="left"/>
      </w:pPr>
      <w:r>
        <w:rPr>
          <w:b/>
        </w:rPr>
        <w:t>Art des Schutzrechts:</w:t>
      </w:r>
      <w:r>
        <w:t xml:space="preserve"> DE-Gebrauchsmuster</w:t>
      </w:r>
    </w:p>
    <w:p>
      <w:pPr>
        <w:jc w:val="left"/>
      </w:pPr>
      <w:r>
        <w:rPr>
          <w:b/>
        </w:rPr>
        <w:t>Angemeldet:</w:t>
      </w:r>
      <w:r>
        <w:t xml:space="preserve"> 22. Februar 2026</w:t>
      </w:r>
    </w:p>
    <w:p>
      <w:pPr>
        <w:jc w:val="left"/>
      </w:pPr>
      <w:r>
        <w:rPr>
          <w:b/>
        </w:rPr>
        <w:t>Aktenzeichen DPMA:</w:t>
      </w:r>
      <w:r>
        <w:t xml:space="preserve"> GM 20 2026 003 871.9</w:t>
      </w:r>
    </w:p>
    <w:p>
      <w:pPr>
        <w:jc w:val="left"/>
      </w:pPr>
      <w:r>
        <w:rPr>
          <w:b/>
        </w:rPr>
        <w:t>Gegenstand:</w:t>
      </w:r>
      <w:r>
        <w:t xml:space="preserve"> Technische Befestigungskonstruktion des Stielschaftes der Rosenbluete (Bodenverankerung)</w:t>
      </w:r>
    </w:p>
    <w:p>
      <w:pPr>
        <w:jc w:val="left"/>
      </w:pPr>
      <w:r>
        <w:rPr>
          <w:b/>
        </w:rPr>
        <w:t>Status:</w:t>
      </w:r>
      <w:r>
        <w:t xml:space="preserve"> Prüfverfahren; Eintragung wird voraussichtlich bis Juli 2026 bekanntgemacht.</w:t>
      </w:r>
    </w:p>
    <w:p>
      <w:pPr>
        <w:pStyle w:val="Heading2"/>
      </w:pPr>
      <w:r>
        <w:rPr>
          <w:rFonts w:ascii="Times New Roman" w:hAnsi="Times New Roman"/>
        </w:rPr>
        <w:t>2. Schutzrechtsstatus — Zusammenfassung und Risikobewertung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Recht</w:t>
            </w:r>
          </w:p>
        </w:tc>
        <w:tc>
          <w:tcPr>
            <w:tcW w:type="dxa" w:w="2268"/>
          </w:tcPr>
          <w:p>
            <w:r>
              <w:rPr>
                <w:rFonts w:ascii="Times New Roman" w:hAnsi="Times New Roman"/>
                <w:b/>
                <w:sz w:val="20"/>
              </w:rPr>
              <w:t>Stärke</w:t>
            </w:r>
          </w:p>
        </w:tc>
        <w:tc>
          <w:tcPr>
            <w:tcW w:type="dxa" w:w="2268"/>
          </w:tcPr>
          <w:p>
            <w:r>
              <w:rPr>
                <w:rFonts w:ascii="Times New Roman" w:hAnsi="Times New Roman"/>
                <w:b/>
                <w:sz w:val="20"/>
              </w:rPr>
              <w:t>Risiko</w:t>
            </w:r>
          </w:p>
        </w:tc>
        <w:tc>
          <w:tcPr>
            <w:tcW w:type="dxa" w:w="2268"/>
          </w:tcPr>
          <w:p>
            <w:r>
              <w:rPr>
                <w:rFonts w:ascii="Times New Roman" w:hAnsi="Times New Roman"/>
                <w:b/>
                <w:sz w:val="20"/>
              </w:rPr>
              <w:t>Priorität</w:t>
            </w:r>
          </w:p>
        </w:tc>
      </w:tr>
      <w:tr>
        <w:tc>
          <w:tcPr>
            <w:tcW w:type="dxa" w:w="2268"/>
          </w:tcPr>
          <w:p>
            <w:r>
              <w:rPr>
                <w:rFonts w:ascii="Times New Roman" w:hAnsi="Times New Roman"/>
                <w:sz w:val="20"/>
              </w:rPr>
              <w:t>EU-3D-Marke 018 977 412</w:t>
            </w:r>
          </w:p>
        </w:tc>
        <w:tc>
          <w:tcPr>
            <w:tcW w:type="dxa" w:w="2268"/>
          </w:tcPr>
          <w:p>
            <w:r>
              <w:rPr>
                <w:rFonts w:ascii="Times New Roman" w:hAnsi="Times New Roman"/>
                <w:sz w:val="20"/>
              </w:rPr>
              <w:t>Mittel (Formmarke, erhöhte Anforderungen)</w:t>
            </w:r>
          </w:p>
        </w:tc>
        <w:tc>
          <w:tcPr>
            <w:tcW w:type="dxa" w:w="2268"/>
          </w:tcPr>
          <w:p>
            <w:r>
              <w:rPr>
                <w:rFonts w:ascii="Times New Roman" w:hAnsi="Times New Roman"/>
                <w:sz w:val="20"/>
              </w:rPr>
              <w:t>Hoch (Nichtigkeitsantrag Bouqart)</w:t>
            </w:r>
          </w:p>
        </w:tc>
        <w:tc>
          <w:tcPr>
            <w:tcW w:type="dxa" w:w="2268"/>
          </w:tcPr>
          <w:p>
            <w:r>
              <w:rPr>
                <w:rFonts w:ascii="Times New Roman" w:hAnsi="Times New Roman"/>
                <w:sz w:val="20"/>
              </w:rPr>
              <w:t>Sehr hoch</w:t>
            </w:r>
          </w:p>
        </w:tc>
      </w:tr>
      <w:tr>
        <w:tc>
          <w:tcPr>
            <w:tcW w:type="dxa" w:w="2268"/>
          </w:tcPr>
          <w:p>
            <w:r>
              <w:rPr>
                <w:rFonts w:ascii="Times New Roman" w:hAnsi="Times New Roman"/>
                <w:sz w:val="20"/>
              </w:rPr>
              <w:t>EU-Geschmacksmuster 008 412 661-0001</w:t>
            </w:r>
          </w:p>
        </w:tc>
        <w:tc>
          <w:tcPr>
            <w:tcW w:type="dxa" w:w="2268"/>
          </w:tcPr>
          <w:p>
            <w:r>
              <w:rPr>
                <w:rFonts w:ascii="Times New Roman" w:hAnsi="Times New Roman"/>
                <w:sz w:val="20"/>
              </w:rPr>
              <w:t>Hoch (klare Gestaltung)</w:t>
            </w:r>
          </w:p>
        </w:tc>
        <w:tc>
          <w:tcPr>
            <w:tcW w:type="dxa" w:w="2268"/>
          </w:tcPr>
          <w:p>
            <w:r>
              <w:rPr>
                <w:rFonts w:ascii="Times New Roman" w:hAnsi="Times New Roman"/>
                <w:sz w:val="20"/>
              </w:rPr>
              <w:t>Mittel (Vintage-Katalog 1962)</w:t>
            </w:r>
          </w:p>
        </w:tc>
        <w:tc>
          <w:tcPr>
            <w:tcW w:type="dxa" w:w="2268"/>
          </w:tcPr>
          <w:p>
            <w:r>
              <w:rPr>
                <w:rFonts w:ascii="Times New Roman" w:hAnsi="Times New Roman"/>
                <w:sz w:val="20"/>
              </w:rPr>
              <w:t>Hoch</w:t>
            </w:r>
          </w:p>
        </w:tc>
      </w:tr>
      <w:tr>
        <w:tc>
          <w:tcPr>
            <w:tcW w:type="dxa" w:w="2268"/>
          </w:tcPr>
          <w:p>
            <w:r>
              <w:rPr>
                <w:rFonts w:ascii="Times New Roman" w:hAnsi="Times New Roman"/>
                <w:sz w:val="20"/>
              </w:rPr>
              <w:t>DE-Marke 30 2026 011 442</w:t>
            </w:r>
          </w:p>
        </w:tc>
        <w:tc>
          <w:tcPr>
            <w:tcW w:type="dxa" w:w="2268"/>
          </w:tcPr>
          <w:p>
            <w:r>
              <w:rPr>
                <w:rFonts w:ascii="Times New Roman" w:hAnsi="Times New Roman"/>
                <w:sz w:val="20"/>
              </w:rPr>
              <w:t>Hoch (kein Widerspruch)</w:t>
            </w:r>
          </w:p>
        </w:tc>
        <w:tc>
          <w:tcPr>
            <w:tcW w:type="dxa" w:w="2268"/>
          </w:tcPr>
          <w:p>
            <w:r>
              <w:rPr>
                <w:rFonts w:ascii="Times New Roman" w:hAnsi="Times New Roman"/>
                <w:sz w:val="20"/>
              </w:rPr>
              <w:t>Niedrig</w:t>
            </w:r>
          </w:p>
        </w:tc>
        <w:tc>
          <w:tcPr>
            <w:tcW w:type="dxa" w:w="2268"/>
          </w:tcPr>
          <w:p>
            <w:r>
              <w:rPr>
                <w:rFonts w:ascii="Times New Roman" w:hAnsi="Times New Roman"/>
                <w:sz w:val="20"/>
              </w:rPr>
              <w:t>Mittel</w:t>
            </w:r>
          </w:p>
        </w:tc>
      </w:tr>
      <w:tr>
        <w:tc>
          <w:tcPr>
            <w:tcW w:type="dxa" w:w="2268"/>
          </w:tcPr>
          <w:p>
            <w:r>
              <w:rPr>
                <w:rFonts w:ascii="Times New Roman" w:hAnsi="Times New Roman"/>
                <w:sz w:val="20"/>
              </w:rPr>
              <w:t>Wortmarke 30 2018 044 781</w:t>
            </w:r>
          </w:p>
        </w:tc>
        <w:tc>
          <w:tcPr>
            <w:tcW w:type="dxa" w:w="2268"/>
          </w:tcPr>
          <w:p>
            <w:r>
              <w:rPr>
                <w:rFonts w:ascii="Times New Roman" w:hAnsi="Times New Roman"/>
                <w:sz w:val="20"/>
              </w:rPr>
              <w:t>Hoch</w:t>
            </w:r>
          </w:p>
        </w:tc>
        <w:tc>
          <w:tcPr>
            <w:tcW w:type="dxa" w:w="2268"/>
          </w:tcPr>
          <w:p>
            <w:r>
              <w:rPr>
                <w:rFonts w:ascii="Times New Roman" w:hAnsi="Times New Roman"/>
                <w:sz w:val="20"/>
              </w:rPr>
              <w:t>Niedrig</w:t>
            </w:r>
          </w:p>
        </w:tc>
        <w:tc>
          <w:tcPr>
            <w:tcW w:type="dxa" w:w="2268"/>
          </w:tcPr>
          <w:p>
            <w:r>
              <w:rPr>
                <w:rFonts w:ascii="Times New Roman" w:hAnsi="Times New Roman"/>
                <w:sz w:val="20"/>
              </w:rPr>
              <w:t>Mittel</w:t>
            </w:r>
          </w:p>
        </w:tc>
      </w:tr>
    </w:tbl>
    <w:p>
      <w:pPr>
        <w:pStyle w:val="Heading2"/>
      </w:pPr>
      <w:r>
        <w:rPr>
          <w:rFonts w:ascii="Times New Roman" w:hAnsi="Times New Roman"/>
        </w:rPr>
        <w:t>3. Konkurrierende Schutzrechte Dritter</w:t>
      </w:r>
    </w:p>
    <w:p>
      <w:pPr>
        <w:pStyle w:val="Heading3"/>
      </w:pPr>
      <w:r>
        <w:rPr>
          <w:rFonts w:ascii="Times New Roman" w:hAnsi="Times New Roman"/>
        </w:rPr>
        <w:t>3.1 Bouqart Italia S.r.l.</w:t>
      </w:r>
    </w:p>
    <w:p>
      <w:pPr>
        <w:jc w:val="left"/>
      </w:pPr>
      <w:r>
        <w:t>Recherche im EUIPO-Designregister und im DPMA-Markenregister ergibt keine eingetragenen Schutzrechte von Bouqart für Rosenbluete-Formen in Deutschland oder der EU. Bouqart vertreibt nach eigenen Angaben im Katalog 2024 ähnliche Dekoration, behauptet aber Unabhängigkeit von der Gestaltung Leichtensteins. Eine Unterlassungsklage gegen Bouqart selbst steht noch aus (wird geprüft, sobald Kollisionslage gesichert).</w:t>
      </w:r>
    </w:p>
    <w:p>
      <w:pPr>
        <w:pStyle w:val="Heading3"/>
      </w:pPr>
      <w:r>
        <w:rPr>
          <w:rFonts w:ascii="Times New Roman" w:hAnsi="Times New Roman"/>
        </w:rPr>
        <w:t>3.2 FlowerWorld AG</w:t>
      </w:r>
    </w:p>
    <w:p>
      <w:pPr>
        <w:jc w:val="left"/>
      </w:pPr>
      <w:r>
        <w:t>FlowerWorld AG hat keine eigenen Marken- oder Designeintragungen für Rosenbluete-Dekorationen. Das angegriffene Erzeugnis „Garden Rose Bloom" ist ohne eigene Schutzrechtsabsicherung auf dem Markt.</w:t>
      </w:r>
    </w:p>
    <w:p>
      <w:pPr>
        <w:pStyle w:val="Heading3"/>
      </w:pPr>
      <w:r>
        <w:rPr>
          <w:rFonts w:ascii="Times New Roman" w:hAnsi="Times New Roman"/>
        </w:rPr>
        <w:t>3.3 RosenGarten24.de</w:t>
      </w:r>
    </w:p>
    <w:p>
      <w:pPr>
        <w:jc w:val="left"/>
      </w:pPr>
      <w:r>
        <w:t>Betreiber Maximilian Huberth-Schwager hat keine gewerblichen Schutzrechte an der Rosenbluete-Gestaltung. Der Betrieb erfolgt offenbar rein unter dem Domainnamen, ohne eigene Markenanmeldung.</w:t>
      </w:r>
    </w:p>
    <w:p>
      <w:pPr>
        <w:pStyle w:val="Heading2"/>
      </w:pPr>
      <w:r>
        <w:rPr>
          <w:rFonts w:ascii="Times New Roman" w:hAnsi="Times New Roman"/>
        </w:rPr>
        <w:t>4. Prioritätslage und Parallelverfahren</w:t>
      </w:r>
    </w:p>
    <w:p>
      <w:pPr>
        <w:jc w:val="left"/>
      </w:pPr>
      <w:r>
        <w:t>Die EU-3D-Marke (Prioritätsdatum: 22. Juni 2019) genießt Vorrang gegenüber allen nach diesem Datum aufgetretenen Verletzungshandlungen. Entscheidend ist, dass das FlowerWorld-Produkt erst ab März 2026 vertrieben wurde, d.h. rund sieben Jahre nach der Eintragung der Marke. Selbst wenn die Marke im Nichtigkeitsverfahren angegriffen wird, entfaltet eine Löschung grundsätzlich nur ex-nunc-Wirkung nach Art. 62 UMV (vgl. jedoch Ausnahme bei bösgläubiger Anmeldung, die hier nicht zu prüfen ist).</w:t>
      </w:r>
    </w:p>
    <w:p>
      <w:pPr>
        <w:jc w:val="left"/>
      </w:pPr>
      <w:r>
        <w:t>Das EU-Geschmacksmuster (Prioritätsdatum 15. März 2018) genießt gegenüber dem Vintage-Katalog von 1962 offensichtlich keine Priorität im zeitlichen Sinne — entscheidend ist hier, ob der Katalog als neuheitsschädlicher Stand der Technik anzuerkennen ist (vgl. Aktenstück 10 und 11).</w:t>
      </w:r>
    </w:p>
    <w:p>
      <w:pPr>
        <w:pStyle w:val="Heading2"/>
      </w:pPr>
      <w:r>
        <w:rPr>
          <w:rFonts w:ascii="Times New Roman" w:hAnsi="Times New Roman"/>
        </w:rPr>
        <w:t>5. Empfehlungen zur Schutzrechtsabsicherung</w:t>
      </w:r>
    </w:p>
    <w:p>
      <w:pPr>
        <w:pStyle w:val="ListNumber"/>
      </w:pPr>
      <w:r>
        <w:rPr>
          <w:b/>
        </w:rPr>
        <w:t>Verlängerung EU-Geschmacksmuster 2028:</w:t>
      </w:r>
      <w:r>
        <w:t xml:space="preserve"> Frist vormerken; Verlängerungsgebühr EUR 90,- je Klasse.</w:t>
      </w:r>
    </w:p>
    <w:p>
      <w:pPr>
        <w:pStyle w:val="ListNumber"/>
      </w:pPr>
      <w:r>
        <w:rPr>
          <w:b/>
        </w:rPr>
        <w:t>Verkehrsgeltungsnachweis für EU-3D-Marke:</w:t>
      </w:r>
      <w:r>
        <w:t xml:space="preserve"> Demoskopisches Gutachten beauftragen (Marktforschungsinstitut empfohlen: Institut für Demoskopie Allensbach oder GfK SE). Budget ca. 12.000 bis 18.000 EUR.</w:t>
      </w:r>
    </w:p>
    <w:p>
      <w:pPr>
        <w:pStyle w:val="ListNumber"/>
      </w:pPr>
      <w:r>
        <w:rPr>
          <w:b/>
        </w:rPr>
        <w:t>Gebrauchsmuster:</w:t>
      </w:r>
      <w:r>
        <w:t xml:space="preserve"> Nach Eintragung prüfen, ob technische Schutzlage für Vollstreckungsanträge nutzbar.</w:t>
      </w:r>
    </w:p>
    <w:p>
      <w:pPr>
        <w:pStyle w:val="ListNumber"/>
      </w:pPr>
      <w:r>
        <w:rPr>
          <w:b/>
        </w:rPr>
        <w:t>Internationale Markenanmeldung:</w:t>
      </w:r>
      <w:r>
        <w:t xml:space="preserve"> Angesichts Exportpotenzial Prüfung einer IR-Marke (WIPO) für Schlüsselmärkte (Schweiz, UK, USA) empfohlen.</w:t>
      </w:r>
    </w:p>
    <w:p/>
    <w:p>
      <w:pPr>
        <w:jc w:val="left"/>
      </w:pPr>
      <w:r>
        <w:rPr>
          <w:b/>
        </w:rPr>
        <w:t>Erstellt von:</w:t>
      </w:r>
      <w:r>
        <w:t xml:space="preserve"> PA Dr. Volkmar Trautmann</w:t>
      </w:r>
    </w:p>
    <w:p>
      <w:pPr>
        <w:jc w:val="left"/>
      </w:pPr>
      <w:r>
        <w:rPr>
          <w:b/>
        </w:rPr>
        <w:t>Geprüft von:</w:t>
      </w:r>
      <w:r>
        <w:t xml:space="preserve"> RA Philipp Mertens-Waldhausen</w:t>
      </w:r>
    </w:p>
    <w:p>
      <w:pPr>
        <w:jc w:val="left"/>
      </w:pPr>
      <w:r>
        <w:rPr>
          <w:b/>
        </w:rPr>
        <w:t>Freigabe:</w:t>
      </w:r>
      <w:r>
        <w:t xml:space="preserve"> 17.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Schutzrechtsportfolio Leichtenstein Gartenkultur Manufaktur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Schutzrechtsportfolio Leichtenstein Gartenkultur Manufaktur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