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EUIPO Boards of Appeal: Beschwerdegegenschrift R 1322/26-2</w:t>
      </w:r>
    </w:p>
    <w:p>
      <w:pPr>
        <w:jc w:val="left"/>
      </w:pPr>
      <w:r>
        <w:rPr>
          <w:b/>
        </w:rPr>
        <w:t>Bearbeiter:</w:t>
      </w:r>
      <w:r>
        <w:t xml:space="preserve"> PA Dr. Volkmar Trautmann</w:t>
      </w:r>
    </w:p>
    <w:p>
      <w:pPr>
        <w:jc w:val="left"/>
      </w:pPr>
      <w:r>
        <w:rPr>
          <w:b/>
        </w:rPr>
        <w:t>Datum:</w:t>
      </w:r>
      <w:r>
        <w:t xml:space="preserve"> 08. Juli 2026 (Einreichung beim EUIPO)</w:t>
      </w:r>
    </w:p>
    <w:p>
      <w:pPr>
        <w:jc w:val="left"/>
      </w:pPr>
      <w:r>
        <w:rPr>
          <w:b/>
        </w:rPr>
        <w:t>Verfahren:</w:t>
      </w:r>
      <w:r>
        <w:t xml:space="preserve"> EUIPO BoA R 1322/26-2</w:t>
      </w:r>
    </w:p>
    <w:p>
      <w:pPr>
        <w:jc w:val="left"/>
      </w:pPr>
      <w:r>
        <w:rPr>
          <w:b/>
        </w:rPr>
        <w:t>Beschwerdegegner (Markeninhaberin):</w:t>
      </w:r>
      <w:r>
        <w:t xml:space="preserve"> Leichtenstein Gartenkultur Manufaktur GmbH</w:t>
      </w:r>
    </w:p>
    <w:p/>
    <w:p>
      <w:pPr>
        <w:pStyle w:val="Heading2"/>
      </w:pPr>
      <w:r>
        <w:rPr>
          <w:rFonts w:ascii="Times New Roman" w:hAnsi="Times New Roman"/>
        </w:rPr>
        <w:t>1. Vorbemerkung und Verfahrensstand</w:t>
      </w:r>
    </w:p>
    <w:p>
      <w:pPr>
        <w:jc w:val="left"/>
      </w:pPr>
      <w:r>
        <w:t>Mit Schreiben des EUIPO vom 12. März 2026 wurde der Markeninhaberin die Beschwerde von Bouqart Italia S.r.l. gegen die Entscheidung der Nichtigkeitsabteilung vom 08. Januar 2026 (ICD 000 042 881) zugestellt. Die Beschwerdebegründung von Bouqart datiert vom 03. Juni 2026 und wurde am 09. Juni 2026 weitergeleitet. Die Erwiderungsfrist läuft am 15. Juli 2026 ab; die vorliegende Gegenschrift wird innerhalb dieser Frist eingereicht.</w:t>
      </w:r>
    </w:p>
    <w:p>
      <w:pPr>
        <w:pStyle w:val="Heading2"/>
      </w:pPr>
      <w:r>
        <w:rPr>
          <w:rFonts w:ascii="Times New Roman" w:hAnsi="Times New Roman"/>
        </w:rPr>
        <w:t>2. Zusammenfassung der Beschwerdegründe von Bouqart</w:t>
      </w:r>
    </w:p>
    <w:p>
      <w:pPr>
        <w:jc w:val="left"/>
      </w:pPr>
      <w:r>
        <w:t>Bouqart trägt in der Beschwerdebegründung Folgendes vor:</w:t>
      </w:r>
    </w:p>
    <w:p>
      <w:pPr>
        <w:pStyle w:val="ListNumber"/>
      </w:pPr>
      <w:r>
        <w:t>Die Nichtigkeitsabteilung habe die vorgelegten Beweismittel (23 Konkurrenzprodukte) nicht ausreichend gewürdigt.</w:t>
      </w:r>
    </w:p>
    <w:p>
      <w:pPr>
        <w:pStyle w:val="ListNumber"/>
      </w:pPr>
      <w:r>
        <w:t>Ein neues demoskopisches Gutachten (Opinionsurvey Italia, Mailand, beauftragt im März 2026) belege, dass nur 12 % der befragten Verbraucher in der eingetragenen Form einen Herkunftshinweis sehen. Dieses Gutachten wurde als Anlage B-7 beigefügt.</w:t>
      </w:r>
    </w:p>
    <w:p>
      <w:pPr>
        <w:pStyle w:val="ListNumber"/>
      </w:pPr>
      <w:r>
        <w:t>Die Nichtigkeitsabteilung habe die EUIPO-Praxis zu Formmarken (zitierte Entscheidungen BoA R 0717/2015-5 und R 1099/2019-4) nicht ausreichend berücksichtigt.</w:t>
      </w:r>
    </w:p>
    <w:p>
      <w:pPr>
        <w:pStyle w:val="ListNumber"/>
      </w:pPr>
      <w:r>
        <w:t>Hilfsweise beantragt Bouqart, das Verfahren zur erneuten Prüfung an die Nichtigkeitsabteilung zurückzuverweisen.</w:t>
      </w:r>
    </w:p>
    <w:p>
      <w:pPr>
        <w:pStyle w:val="Heading2"/>
      </w:pPr>
      <w:r>
        <w:rPr>
          <w:rFonts w:ascii="Times New Roman" w:hAnsi="Times New Roman"/>
        </w:rPr>
        <w:t>3. Erwiderung der Markeninhaberin</w:t>
      </w:r>
    </w:p>
    <w:p>
      <w:pPr>
        <w:pStyle w:val="Heading3"/>
      </w:pPr>
      <w:r>
        <w:rPr>
          <w:rFonts w:ascii="Times New Roman" w:hAnsi="Times New Roman"/>
        </w:rPr>
        <w:t>3.1 Zur Nichtberücksichtigung der Beweismittel</w:t>
      </w:r>
    </w:p>
    <w:p>
      <w:pPr>
        <w:jc w:val="left"/>
      </w:pPr>
      <w:r>
        <w:t>Die Nichtigkeitsabteilung hat die 23 Konkurrenzprodukte eingehend geprüft und in ihrer Entscheidung auf Seiten 8 bis 12 (Abs. 34 bis 51) ausführlich gewürdigt. Bouqart kann nicht einfach behaupten, die Beweismittel seien unberücksichtigt geblieben, wenn die Entscheidungsgründe das Gegenteil belegen. Der Board of Appeal möge die Entscheidungsgründe vollständig und im Zusammenhang lesen.</w:t>
      </w:r>
    </w:p>
    <w:p>
      <w:pPr>
        <w:pStyle w:val="Heading3"/>
      </w:pPr>
      <w:r>
        <w:rPr>
          <w:rFonts w:ascii="Times New Roman" w:hAnsi="Times New Roman"/>
        </w:rPr>
        <w:t>3.2 Zum demoskopischen Gutachten von Bouqart (Opinionsurvey Italia)</w:t>
      </w:r>
    </w:p>
    <w:p>
      <w:pPr>
        <w:jc w:val="left"/>
      </w:pPr>
      <w:r>
        <w:t>Das vorgelegte Gutachten ist aus mehreren Gründen nicht aussagekräftig:</w:t>
      </w:r>
    </w:p>
    <w:p>
      <w:pPr>
        <w:jc w:val="left"/>
      </w:pPr>
      <w:r>
        <w:rPr>
          <w:b/>
        </w:rPr>
        <w:t>a) Unzureichende Stichprobe und falscher Markt:</w:t>
      </w:r>
    </w:p>
    <w:p>
      <w:pPr>
        <w:jc w:val="left"/>
      </w:pPr>
      <w:r>
        <w:t>Das Gutachten wurde in Italien durchgeführt (n = 520 Befragte, ausschließlich in Modena und Mailand). Die relevanten Verkehrskreise für die EU-3D-Marke umfassen alle EU-Mitgliedstaaten. Eine auf zwei italienische Städte beschränkte Umfrage ist nicht repräsentativ für den gesamteuropäischen Markt.</w:t>
      </w:r>
    </w:p>
    <w:p>
      <w:pPr>
        <w:jc w:val="left"/>
      </w:pPr>
      <w:r>
        <w:rPr>
          <w:b/>
        </w:rPr>
        <w:t>b) Falsche Zielgruppe:</w:t>
      </w:r>
    </w:p>
    <w:p>
      <w:pPr>
        <w:jc w:val="left"/>
      </w:pPr>
      <w:r>
        <w:t>Befragt wurden Personen ohne spezifischen Bezug zum Gartendekorationsmarkt (allgemeine Verbraucher ohne Gartenbesitz). Maßgeblich sind die angesprochenen Verkehrskreise, d.h. Konsumenten, die sich für Gartendekorationen interessieren und solche Produkte kaufen.</w:t>
      </w:r>
    </w:p>
    <w:p>
      <w:pPr>
        <w:jc w:val="left"/>
      </w:pPr>
      <w:r>
        <w:rPr>
          <w:b/>
        </w:rPr>
        <w:t>c) Falsche Fragestellung:</w:t>
      </w:r>
    </w:p>
    <w:p>
      <w:pPr>
        <w:jc w:val="left"/>
      </w:pPr>
      <w:r>
        <w:t>Die Frage „Erkennen Sie in dieser Form einen Hinweis auf ein bestimmtes Unternehmen?" ist eine geschlossene, suggestive Frage. Marktübliche demoskopische Erhebungen verwenden offene Fragen zur Herkunftszuordnung.</w:t>
      </w:r>
    </w:p>
    <w:p>
      <w:pPr>
        <w:jc w:val="left"/>
      </w:pPr>
      <w:r>
        <w:rPr>
          <w:b/>
        </w:rPr>
        <w:t>d) Kein Nachweis für Zeitpunkt der Anmeldung:</w:t>
      </w:r>
    </w:p>
    <w:p>
      <w:pPr>
        <w:jc w:val="left"/>
      </w:pPr>
      <w:r>
        <w:t>Relevant für die Beurteilung der Unterscheidungskraft ist der Zeitpunkt der Anmeldung der Marke (22. Juni 2019), nicht der aktuelle Zeitpunkt. Ein im Jahr 2026 durchgeführtes Gutachten trifft keine verlässliche Aussage über die Marktwahrnehmung im Jahr 2019.</w:t>
      </w:r>
    </w:p>
    <w:p>
      <w:pPr>
        <w:pStyle w:val="Heading3"/>
      </w:pPr>
      <w:r>
        <w:rPr>
          <w:rFonts w:ascii="Times New Roman" w:hAnsi="Times New Roman"/>
        </w:rPr>
        <w:t>3.3 Eigenes Verkehrsgeltungsgutachten der Markeninhaberin (Hilfsweise)</w:t>
      </w:r>
    </w:p>
    <w:p>
      <w:pPr>
        <w:jc w:val="left"/>
      </w:pPr>
      <w:r>
        <w:t>Hilfsweise legt die Markeninhaberin ein eigenes demoskopisches Gutachten vor, das von der GfK SE, Nürnberg, im Auftrag der Markeninhaberin im April/Mai 2026 durchgeführt wurde:</w:t>
      </w:r>
    </w:p>
    <w:p>
      <w:pPr>
        <w:jc w:val="left"/>
      </w:pPr>
      <w:r>
        <w:rPr>
          <w:b/>
        </w:rPr>
        <w:t>Gutachten GfK SE, Nürnberg (April/Mai 2026):</w:t>
      </w:r>
    </w:p>
    <w:p>
      <w:pPr>
        <w:pStyle w:val="ListBullet"/>
      </w:pPr>
      <w:r>
        <w:t>Befragte: 1.847 Personen in Deutschland, Österreich und der Schweiz, alle mit Gartenbesitz und regelmäßiger Gartendeko-Kaufhistorie</w:t>
      </w:r>
    </w:p>
    <w:p>
      <w:pPr>
        <w:pStyle w:val="ListBullet"/>
      </w:pPr>
      <w:r>
        <w:t>Frage: „Wenn Sie diese Form sehen (Abbildung Leichtenstein-Rosenbluete), verbinden Sie diese mit einem bestimmten Hersteller oder einer bestimmten Marke?"</w:t>
      </w:r>
    </w:p>
    <w:p>
      <w:pPr>
        <w:pStyle w:val="ListBullet"/>
      </w:pPr>
      <w:r>
        <w:t>Ergebnis: 34 % der Befragten gaben spontan an, die Form mit der Marke „Leichtenstein" oder „Leichtenstein Gartenkultur" zu verbinden; weitere 18 % nannten eine „Premiummarke aus dem Schwarzwald/Odenwald" ohne Namensnennung.</w:t>
      </w:r>
    </w:p>
    <w:p>
      <w:pPr>
        <w:pStyle w:val="ListBullet"/>
      </w:pPr>
      <w:r>
        <w:t>Gesamtbekanntheit (spontan + gestützt): 61 % der Zielgruppe</w:t>
      </w:r>
    </w:p>
    <w:p>
      <w:pPr>
        <w:jc w:val="left"/>
      </w:pPr>
      <w:r>
        <w:t>Dieses Gutachten belegt eine erhebliche Verkehrsgeltung im Sinne von Art. 7 Abs. 3 UMV.</w:t>
      </w:r>
    </w:p>
    <w:p>
      <w:pPr>
        <w:pStyle w:val="Heading3"/>
      </w:pPr>
      <w:r>
        <w:rPr>
          <w:rFonts w:ascii="Times New Roman" w:hAnsi="Times New Roman"/>
        </w:rPr>
        <w:t>3.4 Zur EUIPO-Praxis bei Formmarken (Entscheidungen BoA R 0717/2015-5 und R 1099/2019-4)</w:t>
      </w:r>
    </w:p>
    <w:p>
      <w:pPr>
        <w:jc w:val="left"/>
      </w:pPr>
      <w:r>
        <w:t>Die von Bouqart zitierten Entscheidungen sind nicht einschlägig:</w:t>
      </w:r>
    </w:p>
    <w:p>
      <w:pPr>
        <w:pStyle w:val="ListBullet"/>
      </w:pPr>
      <w:r>
        <w:rPr>
          <w:b/>
        </w:rPr>
        <w:t>R 0717/2015-5 (dekoratives Vogelbad):</w:t>
      </w:r>
      <w:r>
        <w:t xml:space="preserve"> Die Form eines Vogelbads ist von Haus aus generisch, weil es keine charakteristischen individuellen Gestaltungsmerkmale gibt. Die Leichtenstein-Rosenbluete hat demgegenüber klar individualisierte Merkmale (S-Schaft, asymmetrische Blüte, Einzelblattattrappe).</w:t>
      </w:r>
    </w:p>
    <w:p>
      <w:pPr>
        <w:pStyle w:val="ListBullet"/>
      </w:pPr>
      <w:r>
        <w:rPr>
          <w:b/>
        </w:rPr>
        <w:t>R 1099/2019-4 (metallener Gartenzwerg):</w:t>
      </w:r>
      <w:r>
        <w:t xml:space="preserve"> Gartenzwerge sind als Typus (runde Mütze, Bart, Schaufel) weitgehend standardisiert. Für Blütendekoration existiert ein solcher standardisierter Typus nicht; die Gestaltungsvariation ist erheblich größer.</w:t>
      </w:r>
    </w:p>
    <w:p>
      <w:pPr>
        <w:jc w:val="left"/>
      </w:pPr>
      <w:r>
        <w:t>Die angeführten Entscheidungen stützen nicht, sondern widerlegen das Argument von Bouqart: Sie zeigen, dass Formmarken bei fehlender individueller Ausgestaltung nicht schutzfähig sind — und belegen damit ex contrario, dass individualisierte Gestaltungen wie die Leichtenstein-Rosenbluete schutzfähig sind.</w:t>
      </w:r>
    </w:p>
    <w:p>
      <w:pPr>
        <w:pStyle w:val="Heading3"/>
      </w:pPr>
      <w:r>
        <w:rPr>
          <w:rFonts w:ascii="Times New Roman" w:hAnsi="Times New Roman"/>
        </w:rPr>
        <w:t>3.5 Antrag auf Ablehnung des Rückverweisungsantrags</w:t>
      </w:r>
    </w:p>
    <w:p>
      <w:pPr>
        <w:jc w:val="left"/>
      </w:pPr>
      <w:r>
        <w:t>Der hilfsweise gestellte Rückverweisungsantrag ist zurückzuweisen. Eine Rückverweisung an die Nichtigkeitsabteilung ist nur dann geboten, wenn der Board of Appeal neue Sachverhalte oder neue Rechtsfragen aufzuwerfen hätte, über die die Erstinstanz nicht entschieden hat. Bouqart trägt keine neuen Sachverhalte vor, die eine Rückverweisung rechtfertigen würden.</w:t>
      </w:r>
    </w:p>
    <w:p>
      <w:pPr>
        <w:pStyle w:val="Heading2"/>
      </w:pPr>
      <w:r>
        <w:rPr>
          <w:rFonts w:ascii="Times New Roman" w:hAnsi="Times New Roman"/>
        </w:rPr>
        <w:t>4. Zusammenfassung der Anträge der Markeninhaberin</w:t>
      </w:r>
    </w:p>
    <w:p>
      <w:pPr>
        <w:jc w:val="left"/>
      </w:pPr>
      <w:r>
        <w:t>Die Markeninhaberin beantragt:</w:t>
      </w:r>
    </w:p>
    <w:p>
      <w:pPr>
        <w:pStyle w:val="ListNumber"/>
      </w:pPr>
      <w:r>
        <w:t>Die Beschwerde von Bouqart Italia S.r.l. zurückzuweisen.</w:t>
      </w:r>
    </w:p>
    <w:p>
      <w:pPr>
        <w:pStyle w:val="ListNumber"/>
      </w:pPr>
      <w:r>
        <w:t>Die Entscheidung der EUIPO-Nichtigkeitsabteilung vom 08. Januar 2026 (ICD 000 042 881) zu bestätigen.</w:t>
      </w:r>
    </w:p>
    <w:p>
      <w:pPr>
        <w:pStyle w:val="ListNumber"/>
      </w:pPr>
      <w:r>
        <w:t>Bouqart die Kosten des Beschwerdeverfahrens aufzuerlegen.</w:t>
      </w:r>
    </w:p>
    <w:p>
      <w:pPr>
        <w:jc w:val="left"/>
      </w:pPr>
      <w:r>
        <w:t>Hilfsweise: Sollte der Board of Appeal Zweifel an der originären Unterscheidungskraft hegen, so ist die Marke jedenfalls auf Grundlage der nachgewiesenen Verkehrsdurchsetzung (Art. 7 Abs. 3 UMV) als wirksam zu bestätigen.</w:t>
      </w:r>
    </w:p>
    <w:p>
      <w:pPr>
        <w:pStyle w:val="Heading2"/>
      </w:pPr>
      <w:r>
        <w:rPr>
          <w:rFonts w:ascii="Times New Roman" w:hAnsi="Times New Roman"/>
        </w:rPr>
        <w:t>5. Formalien</w:t>
      </w:r>
    </w:p>
    <w:p>
      <w:pPr>
        <w:jc w:val="left"/>
      </w:pPr>
      <w:r>
        <w:t xml:space="preserve">Vollständige Schriftsatz-Dokumentation vgl. </w:t>
      </w:r>
      <w:r>
        <w:t>docx/schriftsatz_euipo_beschwerde_r_1322_26_2.docx</w:t>
      </w:r>
      <w:r>
        <w:t>.</w:t>
      </w:r>
    </w:p>
    <w:p>
      <w:pPr>
        <w:jc w:val="left"/>
      </w:pPr>
      <w:r>
        <w:t>Anlagen: Gutachten GfK SE (Anlage M-1), Presseartikel (Anlage M-2 bis M-7), Messepräsenz-Nachweise (Anlage M-8 bis M-11), Umsatznachweise 2019–2025 (Anlage M-12), Registerauszug EUIPO (Anlage M-13).</w:t>
      </w:r>
    </w:p>
    <w:p/>
    <w:p>
      <w:pPr>
        <w:jc w:val="left"/>
      </w:pPr>
      <w:r>
        <w:rPr>
          <w:b/>
        </w:rPr>
        <w:t>Eingereicht beim EUIPO:</w:t>
      </w:r>
      <w:r>
        <w:t xml:space="preserve"> 08. Juli 2026</w:t>
      </w:r>
    </w:p>
    <w:p>
      <w:pPr>
        <w:jc w:val="left"/>
      </w:pPr>
      <w:r>
        <w:rPr>
          <w:b/>
        </w:rPr>
        <w:t>Bearbeiter:</w:t>
      </w:r>
      <w:r>
        <w:t xml:space="preserve"> PA Dr. Volkmar Trautmann</w:t>
      </w:r>
    </w:p>
    <w:p>
      <w:pPr>
        <w:jc w:val="left"/>
      </w:pPr>
      <w:r>
        <w:rPr>
          <w:b/>
        </w:rPr>
        <w:t>Mitgewirkt:</w:t>
      </w:r>
      <w:r>
        <w:t xml:space="preserve"> RA Philipp Mertens-Waldhausen (UWG-Aspekte)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Leichtenstein Gartenkultur Manufaktur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Leichtenstein Gartenkultur Manufaktur GmbH</w:t>
    </w:r>
  </w:p>
  <w:p>
    <w:pPr>
      <w:jc w:val="left"/>
      <w:pBdr>
        <w:bottom w:val="single" w:sz="6" w:space="2" w:color="1F3864"/>
      </w:pBdr>
    </w:pPr>
    <w:r>
      <w:rPr>
        <w:rFonts w:ascii="Times New Roman" w:hAnsi="Times New Roman"/>
        <w:color w:val="6B6B66"/>
        <w:sz w:val="16"/>
      </w:rPr>
      <w:t>Unternehmen · R 1322/26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