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15 — Nachvertragliches Wettbewerbsverbot und Restbestandstreit (Fonderie Roussel SAS)</w:t>
      </w:r>
    </w:p>
    <w:p>
      <w:pPr>
        <w:jc w:val="left"/>
      </w:pPr>
      <w:r>
        <w:rPr>
          <w:b/>
        </w:rPr>
        <w:t>Bearbeiter:</w:t>
      </w:r>
      <w:r>
        <w:t xml:space="preserve"> RA Philipp Mertens-Waldhausen</w:t>
      </w:r>
    </w:p>
    <w:p>
      <w:pPr>
        <w:jc w:val="left"/>
      </w:pPr>
      <w:r>
        <w:rPr>
          <w:b/>
        </w:rPr>
        <w:t>Datum:</w:t>
      </w:r>
      <w:r>
        <w:t xml:space="preserve"> 20. Juni 2026</w:t>
      </w:r>
    </w:p>
    <w:p>
      <w:pPr>
        <w:jc w:val="left"/>
      </w:pPr>
      <w:r>
        <w:rPr>
          <w:b/>
        </w:rPr>
        <w:t>Verhandlungsstand:</w:t>
      </w:r>
      <w:r>
        <w:t xml:space="preserve"> Außergerichtliche Verhandlungen / Vorbereitung Klage vor LG Mannheim</w:t>
      </w:r>
    </w:p>
    <w:p/>
    <w:p>
      <w:pPr>
        <w:pStyle w:val="Heading2"/>
      </w:pPr>
      <w:r>
        <w:rPr>
          <w:rFonts w:ascii="Times New Roman" w:hAnsi="Times New Roman"/>
        </w:rPr>
        <w:t>1. Verhandlungsstand</w:t>
      </w:r>
    </w:p>
    <w:p>
      <w:pPr>
        <w:jc w:val="left"/>
      </w:pPr>
      <w:r>
        <w:t>Nach der Kündigungszustellung am 18. Februar 2026 fanden am 22. April 2026 (per Videokonferenz) und am 14. Mai 2026 (in Präsenz, Saint-Étienne) Verhandlungen statt. Nachfolgend der aktuelle Verhandlungsstand und die Rechtsbewertung der offenen Streitpunkte.</w:t>
      </w:r>
    </w:p>
    <w:p>
      <w:pPr>
        <w:pStyle w:val="Heading2"/>
      </w:pPr>
      <w:r>
        <w:rPr>
          <w:rFonts w:ascii="Times New Roman" w:hAnsi="Times New Roman"/>
        </w:rPr>
        <w:t>2. Nachvertragliches Wettbewerbsverbot — Anspruchsdurchsetzung</w:t>
      </w:r>
    </w:p>
    <w:p>
      <w:pPr>
        <w:pStyle w:val="Heading3"/>
      </w:pPr>
      <w:r>
        <w:rPr>
          <w:rFonts w:ascii="Times New Roman" w:hAnsi="Times New Roman"/>
        </w:rPr>
        <w:t>2.1 Verbotener Wettbewerb nach Kündigung</w:t>
      </w:r>
    </w:p>
    <w:p>
      <w:pPr>
        <w:jc w:val="left"/>
      </w:pPr>
      <w:r>
        <w:t>Mit Wirkung der außerordentlichen Kündigung (18. Februar 2026) ist FR verpflichtet, jede Fertigung und jeden Vertrieb von Rosenbluete-ähnlichen Gartenskulpturen in Frankreich und Benelux für 24 Monate zu unterlassen. Diese Verpflichtung ergibt sich aus § 14 des Lizenzvertrags.</w:t>
      </w:r>
    </w:p>
    <w:p>
      <w:pPr>
        <w:jc w:val="left"/>
      </w:pPr>
      <w:r>
        <w:t>FR hat nach eigener Auskunft per E-Mail vom 08. März 2026 die Fertigung eingestellt. Vertrieb aus dem Restbestand läuft jedoch weiter. Ob der Restbestandsabverkauf unter das NWV fällt, ist zwischen den Parteien streitig (vgl. unten Ziff. 3).</w:t>
      </w:r>
    </w:p>
    <w:p>
      <w:pPr>
        <w:pStyle w:val="Heading3"/>
      </w:pPr>
      <w:r>
        <w:rPr>
          <w:rFonts w:ascii="Times New Roman" w:hAnsi="Times New Roman"/>
        </w:rPr>
        <w:t>2.2 Stärke des nachvertraglichen Wettbewerbsverbots</w:t>
      </w:r>
    </w:p>
    <w:p>
      <w:pPr>
        <w:jc w:val="left"/>
      </w:pPr>
      <w:r>
        <w:t>Das NWV ist wirksam. Insbesondere:</w:t>
      </w:r>
    </w:p>
    <w:p>
      <w:pPr>
        <w:pStyle w:val="ListBullet"/>
      </w:pPr>
      <w:r>
        <w:rPr>
          <w:b/>
        </w:rPr>
        <w:t>Kartellrechtliche Zulässigkeit:</w:t>
      </w:r>
      <w:r>
        <w:t xml:space="preserve"> Art. 5 der Vertikal-GVO (VO (EU) 2022/720) erlaubt nachvertragliche Wettbewerbsverbote bis zu einem Jahr; über ein Jahr sind sie nur zulässig, wenn sie zum Schutz von vom Lieferanten an den Käufer übermitteltem Know-how erforderlich sind. Das Leichtenstein-Know-how (Gestaltungsdetails, Oberflächenbehandlungsverfahren, Proportionierungsparameter) wurde im Rahmen des Lizenzvertrags an FR übermittelt; ein 24-monatiges NWV ist zum Schutz dieses Know-hows angemessen.</w:t>
      </w:r>
    </w:p>
    <w:p>
      <w:pPr>
        <w:pStyle w:val="ListBullet"/>
      </w:pPr>
      <w:r>
        <w:rPr>
          <w:b/>
        </w:rPr>
        <w:t>Keine Sittenwidrigkeit:</w:t>
      </w:r>
      <w:r>
        <w:t xml:space="preserve"> Das NWV ist auf ein definiertes geografisches Gebiet (Frankreich und Benelux) und einen definierten Gegenstand (Rosenbluete-ähnliche Skulpturen) beschränkt. Eine allgemeine Berufsausübungsbeschränkung liegt nicht vor, da FR in anderen Produktbereichen (andere Gartendeko, Brunnenfiguren) weiterhin tätig sein kann.</w:t>
      </w:r>
    </w:p>
    <w:p>
      <w:pPr>
        <w:pStyle w:val="Heading3"/>
      </w:pPr>
      <w:r>
        <w:rPr>
          <w:rFonts w:ascii="Times New Roman" w:hAnsi="Times New Roman"/>
        </w:rPr>
        <w:t>2.3 Drohender Verstoß: Restbestandsabverkauf als NWV-Verletzung</w:t>
      </w:r>
    </w:p>
    <w:p>
      <w:pPr>
        <w:jc w:val="left"/>
      </w:pPr>
      <w:r>
        <w:t>FR beabsichtigt, die 4.200 Restexemplare über Großhändler (Jardineries du Rhône, Frankreich; Tuincentrum Groningen, Niederlande) abzuverkaufen. Dies ist nach Auffassung der Mandantin ein Verstoß gegen das NWV:</w:t>
      </w:r>
    </w:p>
    <w:p>
      <w:pPr>
        <w:jc w:val="left"/>
      </w:pPr>
      <w:r>
        <w:rPr>
          <w:b/>
        </w:rPr>
        <w:t>Argumentation Leichtenstein:</w:t>
      </w:r>
    </w:p>
    <w:p>
      <w:pPr>
        <w:jc w:val="left"/>
      </w:pPr>
      <w:r>
        <w:t>Das NWV verbietet den Vertrieb von Rosenbluete-ähnlichen Gartenskulpturen. Der Restbestand der „Fleur Leichtenstein" ist ein solches Erzeugnis. Auch der Abverkauf von Waren aus der Lizenzzeit ist nach Beendigung des Vertrags nicht mehr gestattet, wenn kein ausdrückliches Recht zum Restbestandsabverkauf vereinbart wurde.</w:t>
      </w:r>
    </w:p>
    <w:p>
      <w:pPr>
        <w:jc w:val="left"/>
      </w:pPr>
      <w:r>
        <w:rPr>
          <w:b/>
        </w:rPr>
        <w:t>Argumentation Fonderie Roussel:</w:t>
      </w:r>
    </w:p>
    <w:p>
      <w:pPr>
        <w:jc w:val="left"/>
      </w:pPr>
      <w:r>
        <w:t>FR beruft sich auf eine analoge Anwendung der Erschöpfungslehre: Die Rosenblüten wurden rechtmäßig unter dem Lizenzvertrag hergestellt; die Kosten für Herstellung und Material wurden bereits aufgewendet. Das Verbot des Abverkaufs führe zu einem wirtschaftlichen Totalschaden (Verlust von ca. 380.000 EUR an Herstellungskosten und entgangenen Einnahmen bei einem angenommenen Abverkaufspreis von 90 EUR/Stück für insgesamt 4.200 Stück).</w:t>
      </w:r>
    </w:p>
    <w:p>
      <w:pPr>
        <w:pStyle w:val="Heading2"/>
      </w:pPr>
      <w:r>
        <w:rPr>
          <w:rFonts w:ascii="Times New Roman" w:hAnsi="Times New Roman"/>
        </w:rPr>
        <w:t>3. Verhandlungsoptionen und Lösungsszenarien</w:t>
      </w:r>
    </w:p>
    <w:p>
      <w:pPr>
        <w:pStyle w:val="Heading3"/>
      </w:pPr>
      <w:r>
        <w:rPr>
          <w:rFonts w:ascii="Times New Roman" w:hAnsi="Times New Roman"/>
        </w:rPr>
        <w:t>Szenario A: Vollständiges Abverkaufsverbot</w:t>
      </w:r>
    </w:p>
    <w:p>
      <w:pPr>
        <w:jc w:val="left"/>
      </w:pPr>
      <w:r>
        <w:t>Leichtenstein besteht auf sofortigem Abverkaufsstopp. FR müsste Restbestand vernichten oder einlagern. Konsequenz: erhebliche Eskalation, Klage in Frankreich oder Deutschland unvermeidlich.</w:t>
      </w:r>
    </w:p>
    <w:p>
      <w:pPr>
        <w:jc w:val="left"/>
      </w:pPr>
      <w:r>
        <w:rPr>
          <w:b/>
        </w:rPr>
        <w:t>Rechtliche Einschätzung:</w:t>
      </w:r>
      <w:r>
        <w:t xml:space="preserve"> Position der Mandantin ist rechtlich stark. Risiko besteht, dass ein französisches Gericht trotz Wahl deutschen Rechts als Vertragsstatut die FR-freundlichere französische Vertragsrechts-Praxis anwendet oder auf ordre public verweist.</w:t>
      </w:r>
    </w:p>
    <w:p>
      <w:pPr>
        <w:pStyle w:val="Heading3"/>
      </w:pPr>
      <w:r>
        <w:rPr>
          <w:rFonts w:ascii="Times New Roman" w:hAnsi="Times New Roman"/>
        </w:rPr>
        <w:t>Szenario B: Verhandelte Restbestandslösung (bevorzugt)</w:t>
      </w:r>
    </w:p>
    <w:p>
      <w:pPr>
        <w:jc w:val="left"/>
      </w:pPr>
      <w:r>
        <w:t>Die Parteien einigen sich auf folgende Bedingungen:</w:t>
      </w:r>
    </w:p>
    <w:p>
      <w:pPr>
        <w:pStyle w:val="ListBullet"/>
      </w:pPr>
      <w:r>
        <w:t>FR darf den Restbestand (max. 4.200 Stück) innerhalb von sechs Monaten ab Einigung abverkaufen.</w:t>
      </w:r>
    </w:p>
    <w:p>
      <w:pPr>
        <w:pStyle w:val="ListBullet"/>
      </w:pPr>
      <w:r>
        <w:t>FR zahlt für jedes verkaufte Restbestandsstück einen Abverkaufs-Lizenzsatz von 8 % des Nettoverkaufspreises.</w:t>
      </w:r>
    </w:p>
    <w:p>
      <w:pPr>
        <w:pStyle w:val="ListBullet"/>
      </w:pPr>
      <w:r>
        <w:t>FR verpflichtet sich ausdrücklich, nach Abverkauf oder nach Ablauf der sechs Monate keine weiteren Exemplare zu fertigen.</w:t>
      </w:r>
    </w:p>
    <w:p>
      <w:pPr>
        <w:pStyle w:val="ListBullet"/>
      </w:pPr>
      <w:r>
        <w:t>FR zahlt den Zahlungsrückstand 2025 (38.400 EUR) in zwei Raten: 19.200 EUR zum 01. Juli 2026 und 19.200 EUR zum 01. Oktober 2026.</w:t>
      </w:r>
    </w:p>
    <w:p>
      <w:pPr>
        <w:pStyle w:val="ListBullet"/>
      </w:pPr>
      <w:r>
        <w:t>Das NWV bleibt für alle anderen Aspekte (Neufertigung, Vertrieb außerhalb des Restbestands) vollständig in Kraft.</w:t>
      </w:r>
    </w:p>
    <w:p>
      <w:pPr>
        <w:jc w:val="left"/>
      </w:pPr>
      <w:r>
        <w:rPr>
          <w:b/>
        </w:rPr>
        <w:t>Vorteil für Leichtenstein:</w:t>
      </w:r>
      <w:r>
        <w:t xml:space="preserve"> Vermeidung eines teuren Gerichtsverfahrens in Frankreich; Einnahme aus dem Abverkaufs-Lizenzsatz; klare Beendigung der Geschäftsbeziehung.</w:t>
      </w:r>
    </w:p>
    <w:p>
      <w:pPr>
        <w:pStyle w:val="Heading3"/>
      </w:pPr>
      <w:r>
        <w:rPr>
          <w:rFonts w:ascii="Times New Roman" w:hAnsi="Times New Roman"/>
        </w:rPr>
        <w:t>Szenario C: Kauf des Restbestands durch Leichtenstein</w:t>
      </w:r>
    </w:p>
    <w:p>
      <w:pPr>
        <w:jc w:val="left"/>
      </w:pPr>
      <w:r>
        <w:t>Leichtenstein kauft den Restbestand von 4.200 Stück zu einem verhandelten Preis (vorgeschlagener Preis: 40 EUR/Stück = 168.000 EUR gesamt) und verwertet oder vernichtet diesen selbst. FR erhält damit zumindest einen Teil der aufgewendeten Herstellungskosten zurück.</w:t>
      </w:r>
    </w:p>
    <w:p>
      <w:pPr>
        <w:jc w:val="left"/>
      </w:pPr>
      <w:r>
        <w:rPr>
          <w:b/>
        </w:rPr>
        <w:t>Einschätzung:</w:t>
      </w:r>
      <w:r>
        <w:t xml:space="preserve"> Für Leichtenstein teuer und logistisch aufwendig; nicht empfohlen.</w:t>
      </w:r>
    </w:p>
    <w:p>
      <w:pPr>
        <w:pStyle w:val="Heading2"/>
      </w:pPr>
      <w:r>
        <w:rPr>
          <w:rFonts w:ascii="Times New Roman" w:hAnsi="Times New Roman"/>
        </w:rPr>
        <w:t>4. Aktuelle Verhandlungsposition und Empfehlung</w:t>
      </w:r>
    </w:p>
    <w:p>
      <w:pPr>
        <w:jc w:val="left"/>
      </w:pPr>
      <w:r>
        <w:t xml:space="preserve">Die Mandantin präferiert nach Beratungsgespräch vom 18. Juni 2026 </w:t>
      </w:r>
      <w:r>
        <w:rPr>
          <w:b/>
        </w:rPr>
        <w:t>Szenario B</w:t>
      </w:r>
      <w:r>
        <w:t xml:space="preserve"> mit folgenden Mindestbedingungen:</w:t>
      </w:r>
    </w:p>
    <w:p>
      <w:pPr>
        <w:pStyle w:val="ListBullet"/>
      </w:pPr>
      <w:r>
        <w:t>Abverkaufsfrist maximal 4 Monate (statt 6)</w:t>
      </w:r>
    </w:p>
    <w:p>
      <w:pPr>
        <w:pStyle w:val="ListBullet"/>
      </w:pPr>
      <w:r>
        <w:t>Abverkaufs-Lizenzsatz mindestens 10 % (statt 8 %)</w:t>
      </w:r>
    </w:p>
    <w:p>
      <w:pPr>
        <w:pStyle w:val="ListBullet"/>
      </w:pPr>
      <w:r>
        <w:t>Vollständige Zahlung des Rückstands 38.400 EUR bis 31. Juli 2026 (statt Raten)</w:t>
      </w:r>
    </w:p>
    <w:p>
      <w:pPr>
        <w:pStyle w:val="ListBullet"/>
      </w:pPr>
      <w:r>
        <w:t>Unterzeichnung einer strafbewehrten Unterlassungserklärung bzgl. Neufertigung</w:t>
      </w:r>
    </w:p>
    <w:p>
      <w:pPr>
        <w:jc w:val="left"/>
      </w:pPr>
      <w:r>
        <w:t>Die Kanzlei empfiehlt, FR bis zum 30. Juni 2026 ein förmliches Vergleichsangebot auf Basis der Leichtenstein-Mindestbedingungen zuzusenden und für den Fall der Ablehnung unmittelbar Klage beim LG Mannheim zu erheben.</w:t>
      </w:r>
    </w:p>
    <w:p>
      <w:pPr>
        <w:pStyle w:val="Heading2"/>
      </w:pPr>
      <w:r>
        <w:rPr>
          <w:rFonts w:ascii="Times New Roman" w:hAnsi="Times New Roman"/>
        </w:rPr>
        <w:t>5. Schadensberechnung und Forderungsübersicht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Ausstehende Lizenzzahlungen 2025</w:t>
            </w:r>
          </w:p>
        </w:tc>
        <w:tc>
          <w:tcPr>
            <w:tcW w:type="dxa" w:w="4536"/>
          </w:tcPr>
          <w:p>
            <w:r>
              <w:rPr>
                <w:rFonts w:ascii="Times New Roman" w:hAnsi="Times New Roman"/>
                <w:sz w:val="20"/>
              </w:rPr>
              <w:t>38.400</w:t>
            </w:r>
          </w:p>
        </w:tc>
      </w:tr>
      <w:tr>
        <w:tc>
          <w:tcPr>
            <w:tcW w:type="dxa" w:w="4536"/>
          </w:tcPr>
          <w:p>
            <w:r>
              <w:rPr>
                <w:rFonts w:ascii="Times New Roman" w:hAnsi="Times New Roman"/>
                <w:sz w:val="20"/>
              </w:rPr>
              <w:t>Vertragsstrafe Qualitätsverstöße (§ 11 Lizenzvertrag: 5.000 EUR je Verstoß, drei Chargen)</w:t>
            </w:r>
          </w:p>
        </w:tc>
        <w:tc>
          <w:tcPr>
            <w:tcW w:type="dxa" w:w="4536"/>
          </w:tcPr>
          <w:p>
            <w:r>
              <w:rPr>
                <w:rFonts w:ascii="Times New Roman" w:hAnsi="Times New Roman"/>
                <w:sz w:val="20"/>
              </w:rPr>
              <w:t>15.000</w:t>
            </w:r>
          </w:p>
        </w:tc>
      </w:tr>
      <w:tr>
        <w:tc>
          <w:tcPr>
            <w:tcW w:type="dxa" w:w="4536"/>
          </w:tcPr>
          <w:p>
            <w:r>
              <w:rPr>
                <w:rFonts w:ascii="Times New Roman" w:hAnsi="Times New Roman"/>
                <w:sz w:val="20"/>
              </w:rPr>
              <w:t>Vertragsstrafe Gebietsüberschreitung (§ 12 Lizenzvertrag: 10.000 EUR pauschal)</w:t>
            </w:r>
          </w:p>
        </w:tc>
        <w:tc>
          <w:tcPr>
            <w:tcW w:type="dxa" w:w="4536"/>
          </w:tcPr>
          <w:p>
            <w:r>
              <w:rPr>
                <w:rFonts w:ascii="Times New Roman" w:hAnsi="Times New Roman"/>
                <w:sz w:val="20"/>
              </w:rPr>
              <w:t>10.000</w:t>
            </w:r>
          </w:p>
        </w:tc>
      </w:tr>
      <w:tr>
        <w:tc>
          <w:tcPr>
            <w:tcW w:type="dxa" w:w="4536"/>
          </w:tcPr>
          <w:p>
            <w:r>
              <w:rPr>
                <w:rFonts w:ascii="Times New Roman" w:hAnsi="Times New Roman"/>
                <w:sz w:val="20"/>
              </w:rPr>
              <w:t>Schadensersatz entgangene Exklusivitätseinnahmen (geschätzt, fünf Monate Vertrieb Deutschland durch FR)</w:t>
            </w:r>
          </w:p>
        </w:tc>
        <w:tc>
          <w:tcPr>
            <w:tcW w:type="dxa" w:w="4536"/>
          </w:tcPr>
          <w:p>
            <w:r>
              <w:rPr>
                <w:rFonts w:ascii="Times New Roman" w:hAnsi="Times New Roman"/>
                <w:sz w:val="20"/>
              </w:rPr>
              <w:t>12.000</w:t>
            </w:r>
          </w:p>
        </w:tc>
      </w:tr>
      <w:tr>
        <w:tc>
          <w:tcPr>
            <w:tcW w:type="dxa" w:w="4536"/>
          </w:tcPr>
          <w:p>
            <w:r>
              <w:rPr>
                <w:rFonts w:ascii="Times New Roman" w:hAnsi="Times New Roman"/>
                <w:sz w:val="20"/>
              </w:rPr>
              <w:t>Abmahn-/Anwaltskosten</w:t>
            </w:r>
          </w:p>
        </w:tc>
        <w:tc>
          <w:tcPr>
            <w:tcW w:type="dxa" w:w="4536"/>
          </w:tcPr>
          <w:p>
            <w:r>
              <w:rPr>
                <w:rFonts w:ascii="Times New Roman" w:hAnsi="Times New Roman"/>
                <w:sz w:val="20"/>
              </w:rPr>
              <w:t>3.800</w:t>
            </w:r>
          </w:p>
        </w:tc>
      </w:tr>
      <w:tr>
        <w:tc>
          <w:tcPr>
            <w:tcW w:type="dxa" w:w="4536"/>
          </w:tcPr>
          <w:p>
            <w:r>
              <w:rPr>
                <w:rFonts w:ascii="Times New Roman" w:hAnsi="Times New Roman"/>
                <w:b/>
                <w:sz w:val="20"/>
              </w:rPr>
              <w:t>Gesamtforderung</w:t>
            </w:r>
          </w:p>
        </w:tc>
        <w:tc>
          <w:tcPr>
            <w:tcW w:type="dxa" w:w="4536"/>
          </w:tcPr>
          <w:p>
            <w:r>
              <w:rPr>
                <w:rFonts w:ascii="Times New Roman" w:hAnsi="Times New Roman"/>
                <w:b/>
                <w:sz w:val="20"/>
              </w:rPr>
              <w:t>79.200</w:t>
            </w:r>
          </w:p>
        </w:tc>
      </w:tr>
    </w:tbl>
    <w:p/>
    <w:p>
      <w:pPr>
        <w:jc w:val="left"/>
      </w:pPr>
      <w:r>
        <w:rPr>
          <w:b/>
        </w:rPr>
        <w:t>Erstellt von:</w:t>
      </w:r>
      <w:r>
        <w:t xml:space="preserve"> RA Philipp Mertens-Waldhausen</w:t>
      </w:r>
    </w:p>
    <w:p>
      <w:pPr>
        <w:jc w:val="left"/>
      </w:pPr>
      <w:r>
        <w:rPr>
          <w:b/>
        </w:rPr>
        <w:t>Datum:</w:t>
      </w:r>
      <w:r>
        <w:t xml:space="preserve"> 20. Juni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Verhandlungsstand: Außergerichtliche Verhandlungen / Vorbereitung Klage vor LG Mannheim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Verhandlungsstand: Außergerichtliche Verhandlungen / Vorbereitung Klage vor LG Mannheim</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